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FF0EC" w14:textId="5FA9FE31" w:rsidR="00803E12" w:rsidRPr="00302890" w:rsidRDefault="003C4763" w:rsidP="004C0561">
      <w:pPr>
        <w:pStyle w:val="Title"/>
        <w:rPr>
          <w:b/>
          <w:bCs/>
          <w:color w:val="CC00CC"/>
          <w:sz w:val="28"/>
          <w:szCs w:val="24"/>
        </w:rPr>
      </w:pPr>
      <w:sdt>
        <w:sdtPr>
          <w:rPr>
            <w:b/>
            <w:bCs/>
            <w:color w:val="CC00CC"/>
            <w:sz w:val="28"/>
            <w:szCs w:val="24"/>
          </w:rPr>
          <w:alias w:val="Subtitle"/>
          <w:tag w:val="Subtitle"/>
          <w:id w:val="206753112"/>
          <w:placeholder>
            <w:docPart w:val="0E714F5486BB4262903E723F410AD5F2"/>
          </w:placeholder>
          <w:dataBinding w:prefixMappings="xmlns:ns0='http://purl.org/dc/elements/1.1/' xmlns:ns1='http://schemas.openxmlformats.org/package/2006/metadata/core-properties' " w:xpath="/ns1:coreProperties[1]/ns0:subject[1]" w:storeItemID="{6C3C8BC8-F283-45AE-878A-BAB7291924A1}"/>
          <w:text/>
        </w:sdtPr>
        <w:sdtEndPr/>
        <w:sdtContent>
          <w:r w:rsidR="000A228B" w:rsidRPr="000A228B">
            <w:rPr>
              <w:b/>
              <w:bCs/>
              <w:color w:val="CC00CC"/>
              <w:sz w:val="28"/>
              <w:szCs w:val="24"/>
            </w:rPr>
            <w:t>Spatial Mapping of GBV Services and Priority Access Gaps in Balaka District</w:t>
          </w:r>
        </w:sdtContent>
      </w:sdt>
    </w:p>
    <w:p w14:paraId="2997722D" w14:textId="6D4CA55C" w:rsidR="00654630" w:rsidRDefault="00C23C05" w:rsidP="005002B9">
      <w:pPr>
        <w:pStyle w:val="Heading1"/>
        <w:spacing w:before="0"/>
        <w:rPr>
          <w:lang w:val="en-GB"/>
        </w:rPr>
      </w:pPr>
      <w:r w:rsidRPr="004B721D">
        <w:rPr>
          <w:b/>
          <w:bCs/>
        </w:rPr>
        <w:t>Purpose and Scope</w:t>
      </w:r>
    </w:p>
    <w:p w14:paraId="4748319C" w14:textId="77777777" w:rsidR="00F961FE" w:rsidRPr="00F961FE" w:rsidRDefault="00F961FE" w:rsidP="00F961FE">
      <w:pPr>
        <w:jc w:val="both"/>
        <w:rPr>
          <w:lang w:val="en-GB"/>
        </w:rPr>
      </w:pPr>
      <w:r w:rsidRPr="00F961FE">
        <w:rPr>
          <w:lang w:val="en-GB"/>
        </w:rPr>
        <w:t xml:space="preserve">Mchinji District remains a significant GBV-burden district where survivors face persistent spatial and economic barriers in accessing health, police, psychosocial and justice services, despite a moderate overall service presence. While key Traditional Authorities (TAs) such as </w:t>
      </w:r>
      <w:r w:rsidRPr="00F961FE">
        <w:rPr>
          <w:b/>
          <w:bCs/>
          <w:lang w:val="en-GB"/>
        </w:rPr>
        <w:t>Mkanda and Mduwa</w:t>
      </w:r>
      <w:r w:rsidRPr="00F961FE">
        <w:rPr>
          <w:lang w:val="en-GB"/>
        </w:rPr>
        <w:t xml:space="preserve"> host most mapped GBV service points, survivors from peripheral settlements and border-adjacent villages experience longer travel times, higher transport costs, and reduced access to specialised services, particularly courts, One Stop Centres (OSCs) and legal aid.</w:t>
      </w:r>
    </w:p>
    <w:p w14:paraId="37A41586" w14:textId="0021CF63" w:rsidR="00F961FE" w:rsidRPr="00F961FE" w:rsidRDefault="00F961FE" w:rsidP="00F961FE">
      <w:pPr>
        <w:jc w:val="both"/>
        <w:rPr>
          <w:lang w:val="en-GB"/>
        </w:rPr>
      </w:pPr>
      <w:r w:rsidRPr="00F961FE">
        <w:rPr>
          <w:lang w:val="en-GB"/>
        </w:rPr>
        <w:t xml:space="preserve">Spatial analysis indicates that GBV services in Mchinji are </w:t>
      </w:r>
      <w:r w:rsidRPr="00F961FE">
        <w:rPr>
          <w:b/>
          <w:bCs/>
          <w:lang w:val="en-GB"/>
        </w:rPr>
        <w:t>strongly corridor-based</w:t>
      </w:r>
      <w:r w:rsidRPr="00F961FE">
        <w:rPr>
          <w:lang w:val="en-GB"/>
        </w:rPr>
        <w:t xml:space="preserve">, concentrated along the main </w:t>
      </w:r>
      <w:r w:rsidRPr="00F961FE">
        <w:rPr>
          <w:b/>
          <w:bCs/>
          <w:lang w:val="en-GB"/>
        </w:rPr>
        <w:t>transport axis</w:t>
      </w:r>
      <w:r w:rsidRPr="00F961FE">
        <w:rPr>
          <w:lang w:val="en-GB"/>
        </w:rPr>
        <w:t xml:space="preserve"> and secondary feeder roads. Average travel times are relatively short in well-connected zones, but increase substantially for off-corridor and remote communities, particularly during the rainy season when road conditions deteriorate. </w:t>
      </w:r>
      <w:r w:rsidR="006472C6" w:rsidRPr="006472C6">
        <w:rPr>
          <w:lang w:val="en-GB"/>
        </w:rPr>
        <w:t>This policy brief provides a synthesis of GIS spatial analysis, TA-level population density mapping and facility-level referral and resolution data and actionable recommendations for improving survivor-centred access and reducing spatial inequity i</w:t>
      </w:r>
      <w:r w:rsidRPr="00F961FE">
        <w:rPr>
          <w:lang w:val="en-GB"/>
        </w:rPr>
        <w:t>n Mchinji District.</w:t>
      </w:r>
    </w:p>
    <w:p w14:paraId="4B391637" w14:textId="2167A5B3" w:rsidR="004A7ACA" w:rsidRPr="00654630" w:rsidRDefault="00F178D4" w:rsidP="004A7ACA">
      <w:pPr>
        <w:pStyle w:val="Heading2"/>
        <w:rPr>
          <w:lang w:val="en-GB"/>
        </w:rPr>
      </w:pPr>
      <w:r w:rsidRPr="00674C66">
        <w:rPr>
          <w:b/>
          <w:bCs/>
        </w:rPr>
        <w:t>Spatial Profile of GBV Services in M</w:t>
      </w:r>
      <w:r w:rsidR="00D26970">
        <w:rPr>
          <w:b/>
          <w:bCs/>
        </w:rPr>
        <w:t>chinji</w:t>
      </w:r>
    </w:p>
    <w:p w14:paraId="17FCDC25" w14:textId="77777777" w:rsidR="00C07C5D" w:rsidRPr="00C07C5D" w:rsidRDefault="00C07C5D" w:rsidP="00967BFF">
      <w:pPr>
        <w:ind w:left="142"/>
        <w:jc w:val="both"/>
        <w:rPr>
          <w:lang w:val="en-GB"/>
        </w:rPr>
      </w:pPr>
      <w:r w:rsidRPr="00C07C5D">
        <w:rPr>
          <w:lang w:val="en-GB"/>
        </w:rPr>
        <w:t xml:space="preserve">Mchinji District displays </w:t>
      </w:r>
      <w:r w:rsidRPr="00C07C5D">
        <w:rPr>
          <w:b/>
          <w:bCs/>
          <w:lang w:val="en-GB"/>
        </w:rPr>
        <w:t>mixed population density patterns</w:t>
      </w:r>
      <w:r w:rsidRPr="00C07C5D">
        <w:rPr>
          <w:lang w:val="en-GB"/>
        </w:rPr>
        <w:t>, with moderately dense settlement clusters along the central transport corridor and lower-density populations in peripheral and border areas:</w:t>
      </w:r>
    </w:p>
    <w:p w14:paraId="5A9628AB" w14:textId="7AAAB4E4" w:rsidR="00C07C5D" w:rsidRPr="00C07C5D" w:rsidRDefault="00C07C5D" w:rsidP="00967BFF">
      <w:pPr>
        <w:numPr>
          <w:ilvl w:val="0"/>
          <w:numId w:val="46"/>
        </w:numPr>
        <w:spacing w:after="0"/>
        <w:jc w:val="both"/>
        <w:rPr>
          <w:lang w:val="en-GB"/>
        </w:rPr>
      </w:pPr>
      <w:r w:rsidRPr="00C07C5D">
        <w:rPr>
          <w:b/>
          <w:bCs/>
          <w:lang w:val="en-GB"/>
        </w:rPr>
        <w:t xml:space="preserve">Mchinji had </w:t>
      </w:r>
      <w:r w:rsidR="003C4763">
        <w:rPr>
          <w:b/>
          <w:bCs/>
          <w:lang w:val="en-GB"/>
        </w:rPr>
        <w:t>21</w:t>
      </w:r>
      <w:r w:rsidRPr="00C07C5D">
        <w:rPr>
          <w:b/>
          <w:bCs/>
          <w:lang w:val="en-GB"/>
        </w:rPr>
        <w:t xml:space="preserve"> mapped GBV service points</w:t>
      </w:r>
      <w:r w:rsidRPr="00C07C5D">
        <w:rPr>
          <w:lang w:val="en-GB"/>
        </w:rPr>
        <w:t xml:space="preserve">, distributed primarily across </w:t>
      </w:r>
      <w:r w:rsidRPr="00C07C5D">
        <w:rPr>
          <w:b/>
          <w:bCs/>
          <w:lang w:val="en-GB"/>
        </w:rPr>
        <w:t>TA Mkanda (1</w:t>
      </w:r>
      <w:r w:rsidR="003C4763">
        <w:rPr>
          <w:b/>
          <w:bCs/>
          <w:lang w:val="en-GB"/>
        </w:rPr>
        <w:t>4</w:t>
      </w:r>
      <w:r w:rsidRPr="00C07C5D">
        <w:rPr>
          <w:b/>
          <w:bCs/>
          <w:lang w:val="en-GB"/>
        </w:rPr>
        <w:t xml:space="preserve"> facilities)</w:t>
      </w:r>
      <w:r w:rsidRPr="00C07C5D">
        <w:rPr>
          <w:lang w:val="en-GB"/>
        </w:rPr>
        <w:t xml:space="preserve"> and </w:t>
      </w:r>
      <w:r w:rsidRPr="00C07C5D">
        <w:rPr>
          <w:b/>
          <w:bCs/>
          <w:lang w:val="en-GB"/>
        </w:rPr>
        <w:t>TA Mduwa (</w:t>
      </w:r>
      <w:r w:rsidR="003C4763">
        <w:rPr>
          <w:b/>
          <w:bCs/>
          <w:lang w:val="en-GB"/>
        </w:rPr>
        <w:t>7</w:t>
      </w:r>
      <w:r w:rsidRPr="00C07C5D">
        <w:rPr>
          <w:b/>
          <w:bCs/>
          <w:lang w:val="en-GB"/>
        </w:rPr>
        <w:t xml:space="preserve"> facilities)</w:t>
      </w:r>
      <w:r w:rsidRPr="00C07C5D">
        <w:rPr>
          <w:lang w:val="en-GB"/>
        </w:rPr>
        <w:t>, positioning these two TAs as the district’s principal GBV service hubs.</w:t>
      </w:r>
    </w:p>
    <w:p w14:paraId="4DA30EEC" w14:textId="40B562B2" w:rsidR="00C07C5D" w:rsidRPr="00C07C5D" w:rsidRDefault="00C07C5D" w:rsidP="00967BFF">
      <w:pPr>
        <w:numPr>
          <w:ilvl w:val="0"/>
          <w:numId w:val="46"/>
        </w:numPr>
        <w:spacing w:after="0"/>
        <w:jc w:val="both"/>
        <w:rPr>
          <w:lang w:val="en-GB"/>
        </w:rPr>
      </w:pPr>
      <w:r w:rsidRPr="00C07C5D">
        <w:rPr>
          <w:b/>
          <w:bCs/>
          <w:lang w:val="en-GB"/>
        </w:rPr>
        <w:t>TA Mkanda</w:t>
      </w:r>
      <w:r w:rsidRPr="00C07C5D">
        <w:rPr>
          <w:lang w:val="en-GB"/>
        </w:rPr>
        <w:t xml:space="preserve"> hosts the majority of services, including Community Victim Units (CVUs), health clinics, Police Victim Support Units (PVSUs), women’s forums and other community structures. These facilities are largely aligned with the main road and secondary routes, offering comparatively good access for central settlements while leaving more remote villages underserved.</w:t>
      </w:r>
    </w:p>
    <w:p w14:paraId="038055AB" w14:textId="77777777" w:rsidR="00C07C5D" w:rsidRPr="00C07C5D" w:rsidRDefault="00C07C5D" w:rsidP="00967BFF">
      <w:pPr>
        <w:numPr>
          <w:ilvl w:val="0"/>
          <w:numId w:val="46"/>
        </w:numPr>
        <w:spacing w:after="0"/>
        <w:jc w:val="both"/>
        <w:rPr>
          <w:lang w:val="en-GB"/>
        </w:rPr>
      </w:pPr>
      <w:r w:rsidRPr="00C07C5D">
        <w:rPr>
          <w:b/>
          <w:bCs/>
          <w:lang w:val="en-GB"/>
        </w:rPr>
        <w:t>TA Mduwa</w:t>
      </w:r>
      <w:r w:rsidRPr="00C07C5D">
        <w:rPr>
          <w:lang w:val="en-GB"/>
        </w:rPr>
        <w:t xml:space="preserve"> contains fewer service points, but benefits from relatively favourable road connectivity. Travel-time modelling shows average journeys of </w:t>
      </w:r>
      <w:r w:rsidRPr="00C07C5D">
        <w:rPr>
          <w:b/>
          <w:bCs/>
          <w:lang w:val="en-GB"/>
        </w:rPr>
        <w:t>approximately 20–30 minutes</w:t>
      </w:r>
      <w:r w:rsidRPr="00C07C5D">
        <w:rPr>
          <w:lang w:val="en-GB"/>
        </w:rPr>
        <w:t xml:space="preserve"> for many communities; however, settlements located further from feeder roads face higher travel-time variability and increased costs during the rainy season.</w:t>
      </w:r>
    </w:p>
    <w:p w14:paraId="6D63441B" w14:textId="77777777" w:rsidR="00C07C5D" w:rsidRPr="00C07C5D" w:rsidRDefault="00C07C5D" w:rsidP="00967BFF">
      <w:pPr>
        <w:numPr>
          <w:ilvl w:val="0"/>
          <w:numId w:val="46"/>
        </w:numPr>
        <w:spacing w:after="0"/>
        <w:jc w:val="both"/>
        <w:rPr>
          <w:lang w:val="en-GB"/>
        </w:rPr>
      </w:pPr>
      <w:r w:rsidRPr="00C07C5D">
        <w:rPr>
          <w:lang w:val="en-GB"/>
        </w:rPr>
        <w:t xml:space="preserve">Population density in both TAs falls largely within the </w:t>
      </w:r>
      <w:r w:rsidRPr="00C07C5D">
        <w:rPr>
          <w:b/>
          <w:bCs/>
          <w:lang w:val="en-GB"/>
        </w:rPr>
        <w:t>100–161 persons/km² band</w:t>
      </w:r>
      <w:r w:rsidRPr="00C07C5D">
        <w:rPr>
          <w:lang w:val="en-GB"/>
        </w:rPr>
        <w:t>, reinforcing demand for accessible, high-volume frontline services. Dense settlement pockets near the corridor correlate with higher CVU and clinic caseloads, while sparsely populated outer zones show lower recorded referrals, suggesting access-related under-reporting rather than lower incidence.</w:t>
      </w:r>
    </w:p>
    <w:p w14:paraId="1438A87D" w14:textId="5A4549A2" w:rsidR="00C07C5D" w:rsidRPr="00C07C5D" w:rsidRDefault="00C07C5D" w:rsidP="00967BFF">
      <w:pPr>
        <w:numPr>
          <w:ilvl w:val="0"/>
          <w:numId w:val="46"/>
        </w:numPr>
        <w:spacing w:after="0"/>
        <w:jc w:val="both"/>
        <w:rPr>
          <w:lang w:val="en-GB"/>
        </w:rPr>
      </w:pPr>
      <w:r w:rsidRPr="00C07C5D">
        <w:rPr>
          <w:lang w:val="en-GB"/>
        </w:rPr>
        <w:t xml:space="preserve">Travel-time surfaces indicate </w:t>
      </w:r>
      <w:r w:rsidRPr="00C07C5D">
        <w:rPr>
          <w:b/>
          <w:bCs/>
          <w:lang w:val="en-GB"/>
        </w:rPr>
        <w:t>average travel times of 21–35 minutes</w:t>
      </w:r>
      <w:r w:rsidRPr="00C07C5D">
        <w:rPr>
          <w:lang w:val="en-GB"/>
        </w:rPr>
        <w:t xml:space="preserve"> to the nearest GBV service provider in Mkanda and Mduwa, but off-corridor settlements</w:t>
      </w:r>
      <w:r w:rsidR="006C6E40">
        <w:rPr>
          <w:lang w:val="en-GB"/>
        </w:rPr>
        <w:t xml:space="preserve">, </w:t>
      </w:r>
      <w:r w:rsidRPr="00C07C5D">
        <w:rPr>
          <w:lang w:val="en-GB"/>
        </w:rPr>
        <w:t>particularly near border areas or along tertiary roads</w:t>
      </w:r>
      <w:r w:rsidR="006C6E40">
        <w:rPr>
          <w:lang w:val="en-GB"/>
        </w:rPr>
        <w:t xml:space="preserve"> </w:t>
      </w:r>
      <w:r w:rsidRPr="00C07C5D">
        <w:rPr>
          <w:lang w:val="en-GB"/>
        </w:rPr>
        <w:t>experience significantly longer journeys that exceed mapped averages.</w:t>
      </w:r>
    </w:p>
    <w:p w14:paraId="5CA46D72" w14:textId="77777777" w:rsidR="00C07C5D" w:rsidRPr="00C07C5D" w:rsidRDefault="00C07C5D" w:rsidP="00967BFF">
      <w:pPr>
        <w:numPr>
          <w:ilvl w:val="0"/>
          <w:numId w:val="46"/>
        </w:numPr>
        <w:spacing w:after="0"/>
        <w:jc w:val="both"/>
        <w:rPr>
          <w:lang w:val="en-GB"/>
        </w:rPr>
      </w:pPr>
      <w:r w:rsidRPr="00C07C5D">
        <w:rPr>
          <w:b/>
          <w:bCs/>
          <w:lang w:val="en-GB"/>
        </w:rPr>
        <w:t>Transport costs</w:t>
      </w:r>
      <w:r w:rsidRPr="00C07C5D">
        <w:rPr>
          <w:lang w:val="en-GB"/>
        </w:rPr>
        <w:t xml:space="preserve"> for survivors generally range between </w:t>
      </w:r>
      <w:r w:rsidRPr="00C07C5D">
        <w:rPr>
          <w:b/>
          <w:bCs/>
          <w:lang w:val="en-GB"/>
        </w:rPr>
        <w:t>MWK 5,000 and MWK 8,000 per trip</w:t>
      </w:r>
      <w:r w:rsidRPr="00C07C5D">
        <w:rPr>
          <w:lang w:val="en-GB"/>
        </w:rPr>
        <w:t>, with costs increasing sharply for repeat visits involving health follow-up, police reporting and court attendance, creating a substantial burden for low-income households.</w:t>
      </w:r>
    </w:p>
    <w:p w14:paraId="1F67AAAF" w14:textId="77777777" w:rsidR="00C04082" w:rsidRDefault="00FD6DB2" w:rsidP="005002B9">
      <w:pPr>
        <w:keepNext/>
        <w:ind w:left="142"/>
        <w:jc w:val="right"/>
      </w:pPr>
      <w:r>
        <w:rPr>
          <w:noProof/>
          <w:lang w:val="en-GB"/>
        </w:rPr>
        <w:drawing>
          <wp:inline distT="0" distB="0" distL="0" distR="0" wp14:anchorId="5BBC871B" wp14:editId="1E5B7935">
            <wp:extent cx="2988000" cy="3317925"/>
            <wp:effectExtent l="0" t="0" r="3175" b="0"/>
            <wp:docPr id="971740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740944"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88000" cy="3317925"/>
                    </a:xfrm>
                    <a:prstGeom prst="rect">
                      <a:avLst/>
                    </a:prstGeom>
                  </pic:spPr>
                </pic:pic>
              </a:graphicData>
            </a:graphic>
          </wp:inline>
        </w:drawing>
      </w:r>
    </w:p>
    <w:p w14:paraId="005CA280" w14:textId="11BED40B" w:rsidR="00FD6DB2" w:rsidRPr="00C04082" w:rsidRDefault="00C04082" w:rsidP="00C04082">
      <w:pPr>
        <w:pStyle w:val="Caption"/>
        <w:jc w:val="center"/>
        <w:rPr>
          <w:rFonts w:ascii="Arial" w:hAnsi="Arial" w:cs="Arial"/>
          <w:b/>
          <w:bCs w:val="0"/>
          <w:lang w:val="en-GB"/>
        </w:rPr>
      </w:pPr>
      <w:r w:rsidRPr="00C04082">
        <w:rPr>
          <w:rFonts w:ascii="Arial" w:hAnsi="Arial" w:cs="Arial"/>
          <w:b/>
          <w:bCs w:val="0"/>
        </w:rPr>
        <w:t xml:space="preserve">Figure </w:t>
      </w:r>
      <w:r w:rsidRPr="00C04082">
        <w:rPr>
          <w:rFonts w:ascii="Arial" w:hAnsi="Arial" w:cs="Arial"/>
          <w:b/>
          <w:bCs w:val="0"/>
        </w:rPr>
        <w:fldChar w:fldCharType="begin"/>
      </w:r>
      <w:r w:rsidRPr="00C04082">
        <w:rPr>
          <w:rFonts w:ascii="Arial" w:hAnsi="Arial" w:cs="Arial"/>
          <w:b/>
          <w:bCs w:val="0"/>
        </w:rPr>
        <w:instrText xml:space="preserve"> SEQ Figure \* ARABIC </w:instrText>
      </w:r>
      <w:r w:rsidRPr="00C04082">
        <w:rPr>
          <w:rFonts w:ascii="Arial" w:hAnsi="Arial" w:cs="Arial"/>
          <w:b/>
          <w:bCs w:val="0"/>
        </w:rPr>
        <w:fldChar w:fldCharType="separate"/>
      </w:r>
      <w:r w:rsidRPr="00C04082">
        <w:rPr>
          <w:rFonts w:ascii="Arial" w:hAnsi="Arial" w:cs="Arial"/>
          <w:b/>
          <w:bCs w:val="0"/>
          <w:noProof/>
        </w:rPr>
        <w:t>1</w:t>
      </w:r>
      <w:r w:rsidRPr="00C04082">
        <w:rPr>
          <w:rFonts w:ascii="Arial" w:hAnsi="Arial" w:cs="Arial"/>
          <w:b/>
          <w:bCs w:val="0"/>
        </w:rPr>
        <w:fldChar w:fldCharType="end"/>
      </w:r>
      <w:r w:rsidRPr="00C04082">
        <w:rPr>
          <w:rFonts w:ascii="Arial" w:hAnsi="Arial" w:cs="Arial"/>
          <w:b/>
          <w:bCs w:val="0"/>
        </w:rPr>
        <w:t>: Distribution of GBV Service Providers in TA Mduwa</w:t>
      </w:r>
    </w:p>
    <w:p w14:paraId="3DF393E3" w14:textId="77777777" w:rsidR="00C04082" w:rsidRDefault="00C04082" w:rsidP="00C04082">
      <w:pPr>
        <w:keepNext/>
        <w:jc w:val="both"/>
      </w:pPr>
      <w:r>
        <w:rPr>
          <w:b/>
          <w:bCs/>
          <w:noProof/>
          <w:color w:val="7030A0"/>
          <w:lang w:val="en-GB"/>
        </w:rPr>
        <w:lastRenderedPageBreak/>
        <w:drawing>
          <wp:inline distT="0" distB="0" distL="0" distR="0" wp14:anchorId="146C65AD" wp14:editId="01EA8E23">
            <wp:extent cx="2704966" cy="3485049"/>
            <wp:effectExtent l="0" t="0" r="635" b="1270"/>
            <wp:docPr id="20096453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645320"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4966" cy="3485049"/>
                    </a:xfrm>
                    <a:prstGeom prst="rect">
                      <a:avLst/>
                    </a:prstGeom>
                  </pic:spPr>
                </pic:pic>
              </a:graphicData>
            </a:graphic>
          </wp:inline>
        </w:drawing>
      </w:r>
    </w:p>
    <w:p w14:paraId="447D32CC" w14:textId="57EB841C" w:rsidR="00C04082" w:rsidRPr="00C04082" w:rsidRDefault="00C04082" w:rsidP="00C04082">
      <w:pPr>
        <w:pStyle w:val="Caption"/>
        <w:spacing w:after="240"/>
        <w:jc w:val="both"/>
        <w:rPr>
          <w:rFonts w:ascii="Arial" w:hAnsi="Arial" w:cs="Arial"/>
          <w:b/>
          <w:bCs w:val="0"/>
        </w:rPr>
      </w:pPr>
      <w:r w:rsidRPr="00C04082">
        <w:rPr>
          <w:rFonts w:ascii="Arial" w:hAnsi="Arial" w:cs="Arial"/>
          <w:b/>
          <w:bCs w:val="0"/>
        </w:rPr>
        <w:t xml:space="preserve">Figure </w:t>
      </w:r>
      <w:r w:rsidRPr="00C04082">
        <w:rPr>
          <w:rFonts w:ascii="Arial" w:hAnsi="Arial" w:cs="Arial"/>
          <w:b/>
          <w:bCs w:val="0"/>
        </w:rPr>
        <w:fldChar w:fldCharType="begin"/>
      </w:r>
      <w:r w:rsidRPr="00C04082">
        <w:rPr>
          <w:rFonts w:ascii="Arial" w:hAnsi="Arial" w:cs="Arial"/>
          <w:b/>
          <w:bCs w:val="0"/>
        </w:rPr>
        <w:instrText xml:space="preserve"> SEQ Figure \* ARABIC </w:instrText>
      </w:r>
      <w:r w:rsidRPr="00C04082">
        <w:rPr>
          <w:rFonts w:ascii="Arial" w:hAnsi="Arial" w:cs="Arial"/>
          <w:b/>
          <w:bCs w:val="0"/>
        </w:rPr>
        <w:fldChar w:fldCharType="separate"/>
      </w:r>
      <w:r>
        <w:rPr>
          <w:rFonts w:ascii="Arial" w:hAnsi="Arial" w:cs="Arial"/>
          <w:b/>
          <w:bCs w:val="0"/>
          <w:noProof/>
        </w:rPr>
        <w:t>2</w:t>
      </w:r>
      <w:r w:rsidRPr="00C04082">
        <w:rPr>
          <w:rFonts w:ascii="Arial" w:hAnsi="Arial" w:cs="Arial"/>
          <w:b/>
          <w:bCs w:val="0"/>
        </w:rPr>
        <w:fldChar w:fldCharType="end"/>
      </w:r>
      <w:r w:rsidRPr="00C04082">
        <w:rPr>
          <w:rFonts w:ascii="Arial" w:hAnsi="Arial" w:cs="Arial"/>
          <w:b/>
          <w:bCs w:val="0"/>
        </w:rPr>
        <w:t>: Distribution of GBV Service Providers in TA</w:t>
      </w:r>
      <w:r w:rsidRPr="00C04082">
        <w:rPr>
          <w:rFonts w:ascii="Arial" w:hAnsi="Arial" w:cs="Arial"/>
          <w:b/>
          <w:bCs w:val="0"/>
          <w:noProof/>
        </w:rPr>
        <w:t xml:space="preserve"> Mkanda</w:t>
      </w:r>
    </w:p>
    <w:p w14:paraId="00672AA0" w14:textId="095C88AA" w:rsidR="00A05C8E" w:rsidRDefault="00A05C8E" w:rsidP="00671A0C">
      <w:pPr>
        <w:jc w:val="both"/>
        <w:rPr>
          <w:lang w:val="en-GB"/>
        </w:rPr>
      </w:pPr>
      <w:r w:rsidRPr="00A05C8E">
        <w:rPr>
          <w:b/>
          <w:bCs/>
          <w:color w:val="7030A0"/>
          <w:lang w:val="en-GB"/>
        </w:rPr>
        <w:t>Implication:</w:t>
      </w:r>
      <w:r w:rsidRPr="00A05C8E">
        <w:rPr>
          <w:lang w:val="en-GB"/>
        </w:rPr>
        <w:br/>
      </w:r>
      <w:r w:rsidR="00C1051F" w:rsidRPr="00C1051F">
        <w:t xml:space="preserve">Although Mchinji appears moderately well served at district level, effective access to GBV services is </w:t>
      </w:r>
      <w:r w:rsidR="00C1051F" w:rsidRPr="00C1051F">
        <w:rPr>
          <w:b/>
          <w:bCs/>
        </w:rPr>
        <w:t>uneven and corridor-biased</w:t>
      </w:r>
      <w:r w:rsidR="00C1051F" w:rsidRPr="00C1051F">
        <w:t>. Survivors living outside the main transport axis face longer travel times, higher costs and weaker follow-through along referral pathways, particularly to justice-sector services.</w:t>
      </w:r>
    </w:p>
    <w:p w14:paraId="13897572" w14:textId="6C240F1C" w:rsidR="004A7AE8" w:rsidRPr="00893141" w:rsidRDefault="004A7AE8" w:rsidP="00285338">
      <w:pPr>
        <w:pStyle w:val="Heading2"/>
        <w:rPr>
          <w:b/>
          <w:bCs/>
        </w:rPr>
      </w:pPr>
      <w:r w:rsidRPr="00893141">
        <w:rPr>
          <w:b/>
          <w:bCs/>
        </w:rPr>
        <w:t>Key Accessibility Gaps and Systems Challenges</w:t>
      </w:r>
    </w:p>
    <w:p w14:paraId="0E3A2AB0" w14:textId="5E3F9803" w:rsidR="0036668A" w:rsidRDefault="003F5AAA" w:rsidP="00CD4E2E">
      <w:pPr>
        <w:jc w:val="both"/>
      </w:pPr>
      <w:r w:rsidRPr="003F5AAA">
        <w:t>The combined spatial, referral and case-management data point</w:t>
      </w:r>
      <w:r w:rsidR="00B92191">
        <w:t>s</w:t>
      </w:r>
      <w:r w:rsidRPr="003F5AAA">
        <w:t xml:space="preserve"> to a GBV system that is present and active across the </w:t>
      </w:r>
      <w:r w:rsidR="00BC25BA">
        <w:t>two TAs</w:t>
      </w:r>
      <w:r w:rsidRPr="003F5AAA">
        <w:t>, but structurally uneven, costly to access, and weakest where survivors need it most</w:t>
      </w:r>
      <w:r w:rsidR="00CD4E2E">
        <w:t xml:space="preserve"> </w:t>
      </w:r>
      <w:r w:rsidRPr="003F5AAA">
        <w:t>at the level of justice and long-term protection. Five interlinked systems challenges stand out.</w:t>
      </w:r>
    </w:p>
    <w:p w14:paraId="3A31D9A2" w14:textId="16A20E2E" w:rsidR="0036668A" w:rsidRDefault="0036668A" w:rsidP="00967BFF">
      <w:pPr>
        <w:pStyle w:val="ListParagraph"/>
        <w:numPr>
          <w:ilvl w:val="0"/>
          <w:numId w:val="43"/>
        </w:numPr>
        <w:spacing w:after="0"/>
        <w:jc w:val="both"/>
      </w:pPr>
      <w:r w:rsidRPr="0036668A">
        <w:t xml:space="preserve">Spatial inequity across and within TAs was pronounced, with GBV services concentrated in a small number of </w:t>
      </w:r>
      <w:r w:rsidR="0012294D">
        <w:t>service providers</w:t>
      </w:r>
      <w:r w:rsidRPr="0036668A">
        <w:t xml:space="preserve"> while large peripheral areas</w:t>
      </w:r>
      <w:r w:rsidR="0012294D">
        <w:t xml:space="preserve"> </w:t>
      </w:r>
      <w:r w:rsidRPr="0036668A">
        <w:t>remained underserved, resulting in access-driven under-reporting rather than true differences in GBV incidence.</w:t>
      </w:r>
    </w:p>
    <w:p w14:paraId="2DF73FB4" w14:textId="32DD76E7" w:rsidR="00F06802" w:rsidRDefault="00F06802" w:rsidP="00967BFF">
      <w:pPr>
        <w:pStyle w:val="ListParagraph"/>
        <w:numPr>
          <w:ilvl w:val="0"/>
          <w:numId w:val="43"/>
        </w:numPr>
        <w:spacing w:after="0"/>
        <w:jc w:val="both"/>
      </w:pPr>
      <w:r w:rsidRPr="00F06802">
        <w:t>Long travel distances (</w:t>
      </w:r>
      <w:r w:rsidR="004B0AF1">
        <w:t>20</w:t>
      </w:r>
      <w:r w:rsidRPr="00F06802">
        <w:t>–34 km), extended travel times (</w:t>
      </w:r>
      <w:r w:rsidR="00967BFF">
        <w:t>21</w:t>
      </w:r>
      <w:r w:rsidRPr="00F06802">
        <w:t>–</w:t>
      </w:r>
      <w:r w:rsidR="00967BFF">
        <w:t>35</w:t>
      </w:r>
      <w:r w:rsidRPr="00F06802">
        <w:t xml:space="preserve"> minutes), and high transport costs (MWK </w:t>
      </w:r>
      <w:r w:rsidR="00230A0D">
        <w:t>5</w:t>
      </w:r>
      <w:r w:rsidRPr="00F06802">
        <w:t>,000–</w:t>
      </w:r>
      <w:r w:rsidR="00AD60AD">
        <w:t>8,000</w:t>
      </w:r>
      <w:r w:rsidRPr="00F06802">
        <w:t xml:space="preserve"> per trip) acted as structural </w:t>
      </w:r>
      <w:r w:rsidRPr="00F06802">
        <w:t>filters that disproportionately excluded poor, rural and remote survivors</w:t>
      </w:r>
      <w:r w:rsidR="003518F2">
        <w:t xml:space="preserve"> </w:t>
      </w:r>
      <w:r w:rsidRPr="00F06802">
        <w:t xml:space="preserve">particularly in far-remote </w:t>
      </w:r>
      <w:r w:rsidR="00093687">
        <w:t xml:space="preserve">locations </w:t>
      </w:r>
      <w:r w:rsidRPr="00F06802">
        <w:t>from accessing GBV services.</w:t>
      </w:r>
    </w:p>
    <w:p w14:paraId="5A3A8906" w14:textId="5D8BE567" w:rsidR="00F06802" w:rsidRDefault="000D3605" w:rsidP="00967BFF">
      <w:pPr>
        <w:pStyle w:val="ListParagraph"/>
        <w:numPr>
          <w:ilvl w:val="0"/>
          <w:numId w:val="43"/>
        </w:numPr>
        <w:spacing w:after="0"/>
        <w:jc w:val="both"/>
      </w:pPr>
      <w:r w:rsidRPr="000D3605">
        <w:t>While counselling and basic support were widely available, specialised GBV services</w:t>
      </w:r>
      <w:r w:rsidR="00086781">
        <w:t xml:space="preserve"> </w:t>
      </w:r>
      <w:r w:rsidRPr="000D3605">
        <w:t>including forensic care, legal aid and OSCs</w:t>
      </w:r>
      <w:r w:rsidR="00086781">
        <w:t xml:space="preserve"> </w:t>
      </w:r>
      <w:r w:rsidRPr="000D3605">
        <w:t xml:space="preserve">were sparse and district-based, and the justice system remained the weakest link, with magistrate courts resolving only 25% of cases and lacking criminal jurisdiction at </w:t>
      </w:r>
      <w:r w:rsidR="00086781">
        <w:t>2</w:t>
      </w:r>
      <w:r w:rsidR="00086781" w:rsidRPr="00086781">
        <w:rPr>
          <w:vertAlign w:val="superscript"/>
        </w:rPr>
        <w:t>nd</w:t>
      </w:r>
      <w:r w:rsidR="00086781">
        <w:t>/3</w:t>
      </w:r>
      <w:r w:rsidR="00086781" w:rsidRPr="00086781">
        <w:rPr>
          <w:vertAlign w:val="superscript"/>
        </w:rPr>
        <w:t>rd</w:t>
      </w:r>
      <w:r w:rsidR="00086781">
        <w:t xml:space="preserve"> grade magistrate </w:t>
      </w:r>
      <w:r w:rsidRPr="000D3605">
        <w:t>level.</w:t>
      </w:r>
    </w:p>
    <w:p w14:paraId="3092BA9E" w14:textId="67A7EF76" w:rsidR="0024504B" w:rsidRDefault="0024504B" w:rsidP="00967BFF">
      <w:pPr>
        <w:pStyle w:val="ListParagraph"/>
        <w:numPr>
          <w:ilvl w:val="0"/>
          <w:numId w:val="43"/>
        </w:numPr>
        <w:spacing w:after="0"/>
        <w:jc w:val="both"/>
      </w:pPr>
      <w:r w:rsidRPr="0024504B">
        <w:t>Referral chains exhibited a steep attrition curve, where most cases originated and were resolved at community, health and police levels, but survivor engagement dropped sharply as cases moved toward the justice system due to distance, repeated travel requirements, costs and weak feedback loops.</w:t>
      </w:r>
    </w:p>
    <w:p w14:paraId="684A686E" w14:textId="2D4BF5BE" w:rsidR="0024504B" w:rsidRDefault="0024504B" w:rsidP="00967BFF">
      <w:pPr>
        <w:pStyle w:val="ListParagraph"/>
        <w:numPr>
          <w:ilvl w:val="0"/>
          <w:numId w:val="43"/>
        </w:numPr>
        <w:spacing w:after="0"/>
        <w:jc w:val="both"/>
      </w:pPr>
      <w:r w:rsidRPr="0024504B">
        <w:t>GBV information systems were fragmented across paper and digital tools, lacked unique case identifiers, applied inconsistent definitions of “case” and “resolved,” and suffered from missing disaggregation</w:t>
      </w:r>
      <w:r w:rsidR="000A5F31">
        <w:t xml:space="preserve">, </w:t>
      </w:r>
      <w:r w:rsidRPr="0024504B">
        <w:t>resulting in unreliable totals, untraceable survivor pathways and limited capacity for accountability or learning.</w:t>
      </w:r>
    </w:p>
    <w:p w14:paraId="110947BE" w14:textId="707A425B" w:rsidR="0024504B" w:rsidRDefault="002F4B60" w:rsidP="00967BFF">
      <w:pPr>
        <w:pStyle w:val="ListParagraph"/>
        <w:numPr>
          <w:ilvl w:val="0"/>
          <w:numId w:val="43"/>
        </w:numPr>
        <w:spacing w:after="0"/>
        <w:jc w:val="both"/>
      </w:pPr>
      <w:r w:rsidRPr="002F4B60">
        <w:t>Survivor outcomes were shaped by interconnected location</w:t>
      </w:r>
      <w:r w:rsidR="00B92191">
        <w:t xml:space="preserve"> </w:t>
      </w:r>
      <w:r w:rsidR="00B92191" w:rsidRPr="002F4B60">
        <w:t>constraints</w:t>
      </w:r>
      <w:r w:rsidR="00B92191">
        <w:t xml:space="preserve"> </w:t>
      </w:r>
      <w:r w:rsidRPr="002F4B60">
        <w:t>determining physical access, income determining ability to follow through, service type determining case trajectory, and weak data systems obscuring gaps</w:t>
      </w:r>
      <w:r w:rsidR="00382EC8">
        <w:t xml:space="preserve">, </w:t>
      </w:r>
      <w:r w:rsidRPr="002F4B60">
        <w:t>highlighting the need for simultaneous action on spatial equity, affordability, service depth, referral linkages and data integration.</w:t>
      </w:r>
    </w:p>
    <w:p w14:paraId="42C24132" w14:textId="760C5C8C" w:rsidR="00E00639" w:rsidRDefault="00E00639" w:rsidP="00967BFF">
      <w:pPr>
        <w:pStyle w:val="ListParagraph"/>
        <w:numPr>
          <w:ilvl w:val="0"/>
          <w:numId w:val="43"/>
        </w:numPr>
        <w:spacing w:after="0"/>
        <w:jc w:val="both"/>
      </w:pPr>
      <w:r>
        <w:t>E</w:t>
      </w:r>
      <w:r w:rsidRPr="00E00639">
        <w:t>ven before considering communication, attitudinal or financial barriers, around one in three GBV service points explicitly reported that their physical infrastructure is not accessible to persons with disabilities, and only about half reported meeting basic accessibility standards (e.g. ramps, wide entrances, accessible toilets).</w:t>
      </w:r>
    </w:p>
    <w:p w14:paraId="6648F123" w14:textId="01BD98F0" w:rsidR="00803E12" w:rsidRPr="00893141" w:rsidRDefault="00285338" w:rsidP="00285338">
      <w:pPr>
        <w:pStyle w:val="Heading2"/>
        <w:rPr>
          <w:b/>
          <w:bCs/>
        </w:rPr>
      </w:pPr>
      <w:r w:rsidRPr="00893141">
        <w:rPr>
          <w:b/>
          <w:bCs/>
        </w:rPr>
        <w:t xml:space="preserve">Policy </w:t>
      </w:r>
      <w:r w:rsidR="00A5142F">
        <w:rPr>
          <w:b/>
          <w:bCs/>
        </w:rPr>
        <w:t xml:space="preserve">Recommendations </w:t>
      </w:r>
      <w:r w:rsidRPr="00893141">
        <w:rPr>
          <w:b/>
          <w:bCs/>
        </w:rPr>
        <w:t xml:space="preserve"> </w:t>
      </w:r>
    </w:p>
    <w:p w14:paraId="61169847" w14:textId="19DEA94F" w:rsidR="00285338" w:rsidRPr="00285338" w:rsidRDefault="00285338" w:rsidP="00285338">
      <w:pPr>
        <w:rPr>
          <w:b/>
          <w:bCs/>
          <w:color w:val="CC00CC"/>
          <w:lang w:val="en-GB"/>
        </w:rPr>
      </w:pPr>
      <w:r w:rsidRPr="00285338">
        <w:rPr>
          <w:b/>
          <w:bCs/>
          <w:color w:val="CC00CC"/>
          <w:lang w:val="en-GB"/>
        </w:rPr>
        <w:t xml:space="preserve">Policy Option 1: </w:t>
      </w:r>
      <w:r w:rsidR="00F5522F" w:rsidRPr="00F5522F">
        <w:rPr>
          <w:b/>
          <w:bCs/>
          <w:color w:val="CC00CC"/>
          <w:lang w:val="en-GB"/>
        </w:rPr>
        <w:t xml:space="preserve">Support </w:t>
      </w:r>
      <w:r w:rsidR="00DA7D1A">
        <w:rPr>
          <w:b/>
          <w:bCs/>
          <w:color w:val="CC00CC"/>
          <w:lang w:val="en-GB"/>
        </w:rPr>
        <w:t>C</w:t>
      </w:r>
      <w:r w:rsidR="00F5522F" w:rsidRPr="00F5522F">
        <w:rPr>
          <w:b/>
          <w:bCs/>
          <w:color w:val="CC00CC"/>
          <w:lang w:val="en-GB"/>
        </w:rPr>
        <w:t xml:space="preserve">ircuit or </w:t>
      </w:r>
      <w:r w:rsidR="00DA7D1A">
        <w:rPr>
          <w:b/>
          <w:bCs/>
          <w:color w:val="CC00CC"/>
          <w:lang w:val="en-GB"/>
        </w:rPr>
        <w:t>M</w:t>
      </w:r>
      <w:r w:rsidR="00F5522F" w:rsidRPr="00F5522F">
        <w:rPr>
          <w:b/>
          <w:bCs/>
          <w:color w:val="CC00CC"/>
          <w:lang w:val="en-GB"/>
        </w:rPr>
        <w:t xml:space="preserve">obile </w:t>
      </w:r>
      <w:r w:rsidR="00DA7D1A">
        <w:rPr>
          <w:b/>
          <w:bCs/>
          <w:color w:val="CC00CC"/>
          <w:lang w:val="en-GB"/>
        </w:rPr>
        <w:t>C</w:t>
      </w:r>
      <w:r w:rsidR="00F5522F" w:rsidRPr="00F5522F">
        <w:rPr>
          <w:b/>
          <w:bCs/>
          <w:color w:val="CC00CC"/>
          <w:lang w:val="en-GB"/>
        </w:rPr>
        <w:t xml:space="preserve">ourt </w:t>
      </w:r>
      <w:r w:rsidR="00DA7D1A">
        <w:rPr>
          <w:b/>
          <w:bCs/>
          <w:color w:val="CC00CC"/>
          <w:lang w:val="en-GB"/>
        </w:rPr>
        <w:t>S</w:t>
      </w:r>
      <w:r w:rsidR="00F5522F" w:rsidRPr="00F5522F">
        <w:rPr>
          <w:b/>
          <w:bCs/>
          <w:color w:val="CC00CC"/>
          <w:lang w:val="en-GB"/>
        </w:rPr>
        <w:t>essions</w:t>
      </w:r>
      <w:r w:rsidR="00FD5064">
        <w:rPr>
          <w:b/>
          <w:bCs/>
          <w:color w:val="CC00CC"/>
          <w:lang w:val="en-GB"/>
        </w:rPr>
        <w:t xml:space="preserve">, </w:t>
      </w:r>
      <w:r w:rsidR="00DA7D1A">
        <w:rPr>
          <w:b/>
          <w:bCs/>
          <w:color w:val="CC00CC"/>
          <w:lang w:val="en-GB"/>
        </w:rPr>
        <w:t>M</w:t>
      </w:r>
      <w:r w:rsidR="00F5522F">
        <w:rPr>
          <w:b/>
          <w:bCs/>
          <w:color w:val="CC00CC"/>
          <w:lang w:val="en-GB"/>
        </w:rPr>
        <w:t xml:space="preserve">obile </w:t>
      </w:r>
      <w:r w:rsidR="00DA7D1A">
        <w:rPr>
          <w:b/>
          <w:bCs/>
          <w:color w:val="CC00CC"/>
          <w:lang w:val="en-GB"/>
        </w:rPr>
        <w:t>L</w:t>
      </w:r>
      <w:r w:rsidR="00F5522F">
        <w:rPr>
          <w:b/>
          <w:bCs/>
          <w:color w:val="CC00CC"/>
          <w:lang w:val="en-GB"/>
        </w:rPr>
        <w:t>e</w:t>
      </w:r>
      <w:r w:rsidR="00DA7D1A">
        <w:rPr>
          <w:b/>
          <w:bCs/>
          <w:color w:val="CC00CC"/>
          <w:lang w:val="en-GB"/>
        </w:rPr>
        <w:t>gal Clinics</w:t>
      </w:r>
    </w:p>
    <w:p w14:paraId="52DE42A0" w14:textId="77777777" w:rsidR="00F5522F" w:rsidRPr="00FD5064" w:rsidRDefault="00F5522F" w:rsidP="00FD5064">
      <w:pPr>
        <w:tabs>
          <w:tab w:val="num" w:pos="426"/>
        </w:tabs>
        <w:jc w:val="both"/>
        <w:rPr>
          <w:lang w:val="en-GB"/>
        </w:rPr>
      </w:pPr>
      <w:r w:rsidRPr="00FD5064">
        <w:rPr>
          <w:lang w:val="en-GB"/>
        </w:rPr>
        <w:t>Support circuit or mobile court sessions in high-burden, distant TAs to reduce the number of long, costly trips required for survivors and witnesses.</w:t>
      </w:r>
    </w:p>
    <w:p w14:paraId="33AEDE00" w14:textId="77777777" w:rsidR="00F5522F" w:rsidRPr="00FD5064" w:rsidRDefault="00F5522F" w:rsidP="00FD5064">
      <w:pPr>
        <w:jc w:val="both"/>
        <w:rPr>
          <w:lang w:val="en-GB"/>
        </w:rPr>
      </w:pPr>
      <w:r w:rsidRPr="00FD5064">
        <w:rPr>
          <w:lang w:val="en-GB"/>
        </w:rPr>
        <w:t>Strengthen police–prosecution–court communication and case tracking so that criminal GBV matters referred out of TAs are systematically followed through at district level.</w:t>
      </w:r>
    </w:p>
    <w:p w14:paraId="5A674B7F" w14:textId="08820A6C" w:rsidR="00FD5064" w:rsidRPr="00FD5064" w:rsidRDefault="00FD5064" w:rsidP="00FD5064">
      <w:pPr>
        <w:jc w:val="both"/>
        <w:rPr>
          <w:lang w:val="en-GB"/>
        </w:rPr>
      </w:pPr>
      <w:r w:rsidRPr="00FD5064">
        <w:rPr>
          <w:lang w:val="en-GB"/>
        </w:rPr>
        <w:lastRenderedPageBreak/>
        <w:t>This option directly addresses spatial exclusion and provides timely services closer to survivors’ homes.</w:t>
      </w:r>
    </w:p>
    <w:p w14:paraId="3ADCBAF4" w14:textId="4607D46A" w:rsidR="00285338" w:rsidRPr="00285338" w:rsidRDefault="00285338" w:rsidP="00C74A1F">
      <w:pPr>
        <w:jc w:val="both"/>
        <w:rPr>
          <w:lang w:val="en-GB"/>
        </w:rPr>
      </w:pPr>
      <w:r w:rsidRPr="00285338">
        <w:rPr>
          <w:b/>
          <w:bCs/>
          <w:lang w:val="en-GB"/>
        </w:rPr>
        <w:t>Advantages:</w:t>
      </w:r>
      <w:r w:rsidRPr="00285338">
        <w:rPr>
          <w:lang w:val="en-GB"/>
        </w:rPr>
        <w:t xml:space="preserve"> Immediate reduction in travel burdens; improved early reporting; higher likelihood of referral completion.</w:t>
      </w:r>
      <w:r w:rsidRPr="00285338">
        <w:rPr>
          <w:lang w:val="en-GB"/>
        </w:rPr>
        <w:br/>
      </w:r>
      <w:r w:rsidRPr="00285338">
        <w:rPr>
          <w:b/>
          <w:bCs/>
          <w:lang w:val="en-GB"/>
        </w:rPr>
        <w:t>Disadvantages:</w:t>
      </w:r>
      <w:r w:rsidRPr="00285338">
        <w:rPr>
          <w:lang w:val="en-GB"/>
        </w:rPr>
        <w:t xml:space="preserve"> Requires reliable vehicles, fuel, and scheduling; limited reach during heavy rains.</w:t>
      </w:r>
      <w:r w:rsidRPr="00285338">
        <w:rPr>
          <w:lang w:val="en-GB"/>
        </w:rPr>
        <w:br/>
      </w:r>
      <w:r w:rsidRPr="00285338">
        <w:rPr>
          <w:b/>
          <w:bCs/>
          <w:lang w:val="en-GB"/>
        </w:rPr>
        <w:t>Feasibility &amp; Cost:</w:t>
      </w:r>
      <w:r w:rsidRPr="00285338">
        <w:rPr>
          <w:lang w:val="en-GB"/>
        </w:rPr>
        <w:t xml:space="preserve"> Moderate, with strong donor feasibility.</w:t>
      </w:r>
      <w:r w:rsidRPr="00285338">
        <w:rPr>
          <w:lang w:val="en-GB"/>
        </w:rPr>
        <w:br/>
      </w:r>
      <w:r w:rsidRPr="00285338">
        <w:rPr>
          <w:b/>
          <w:bCs/>
          <w:lang w:val="en-GB"/>
        </w:rPr>
        <w:t>Equity Impacts:</w:t>
      </w:r>
      <w:r w:rsidRPr="00285338">
        <w:rPr>
          <w:lang w:val="en-GB"/>
        </w:rPr>
        <w:t xml:space="preserve"> High</w:t>
      </w:r>
      <w:r w:rsidR="004C26D0">
        <w:rPr>
          <w:lang w:val="en-GB"/>
        </w:rPr>
        <w:t xml:space="preserve"> </w:t>
      </w:r>
      <w:r w:rsidRPr="00285338">
        <w:rPr>
          <w:lang w:val="en-GB"/>
        </w:rPr>
        <w:t>prioritises remote, low-income and terrain-isolated households.</w:t>
      </w:r>
    </w:p>
    <w:p w14:paraId="2113962A" w14:textId="0A05489B" w:rsidR="00285338" w:rsidRPr="00285338" w:rsidRDefault="00285338" w:rsidP="00285338">
      <w:pPr>
        <w:rPr>
          <w:b/>
          <w:bCs/>
          <w:color w:val="CC00CC"/>
          <w:lang w:val="en-GB"/>
        </w:rPr>
      </w:pPr>
      <w:r w:rsidRPr="00285338">
        <w:rPr>
          <w:b/>
          <w:bCs/>
          <w:color w:val="CC00CC"/>
          <w:lang w:val="en-GB"/>
        </w:rPr>
        <w:t xml:space="preserve">Policy Option </w:t>
      </w:r>
      <w:r w:rsidR="00AD30BC">
        <w:rPr>
          <w:b/>
          <w:bCs/>
          <w:color w:val="CC00CC"/>
          <w:lang w:val="en-GB"/>
        </w:rPr>
        <w:t>2</w:t>
      </w:r>
      <w:r w:rsidRPr="00285338">
        <w:rPr>
          <w:b/>
          <w:bCs/>
          <w:color w:val="CC00CC"/>
          <w:lang w:val="en-GB"/>
        </w:rPr>
        <w:t xml:space="preserve">: </w:t>
      </w:r>
      <w:r w:rsidR="003B089F" w:rsidRPr="003B089F">
        <w:rPr>
          <w:b/>
          <w:bCs/>
          <w:color w:val="CC00CC"/>
        </w:rPr>
        <w:t>Establish a Sustainable Survivor Support Fund (SSF) and Accompaniment Mechanism</w:t>
      </w:r>
    </w:p>
    <w:p w14:paraId="7A718D8E" w14:textId="4E969F54" w:rsidR="00BF4FE5" w:rsidRDefault="00BF4FE5" w:rsidP="00D04BBC">
      <w:pPr>
        <w:jc w:val="both"/>
      </w:pPr>
      <w:r w:rsidRPr="00BF4FE5">
        <w:t xml:space="preserve">Given the long and costly journeys faced by survivors from peripheral and border-adjacent villages in </w:t>
      </w:r>
      <w:r w:rsidRPr="00BF4FE5">
        <w:rPr>
          <w:b/>
          <w:bCs/>
        </w:rPr>
        <w:t>Mkanda</w:t>
      </w:r>
      <w:r w:rsidRPr="00BF4FE5">
        <w:t xml:space="preserve"> and </w:t>
      </w:r>
      <w:r w:rsidRPr="00BF4FE5">
        <w:rPr>
          <w:b/>
          <w:bCs/>
        </w:rPr>
        <w:t>Mduwa</w:t>
      </w:r>
      <w:r w:rsidRPr="00BF4FE5">
        <w:t>, Mchinji District should operationalise a sustainable Survivor Support Fund (SSF) to cover essential transport, food and accompaniment during GBV referrals. The SSF would combine district-based allocations, MICGBV support, partnerships with local transport unions and revenues from TA-level IGAs to ensure continuity beyond donor cycles. A voucher and digital-tracking system would maintain accountability and cost control. By reducing financial attrition and enabling survivors to attend multiple appointments</w:t>
      </w:r>
      <w:r w:rsidR="004C26D0">
        <w:t xml:space="preserve"> </w:t>
      </w:r>
      <w:r w:rsidRPr="00BF4FE5">
        <w:t>particularly court sessions at district headquarters</w:t>
      </w:r>
      <w:r w:rsidR="004C26D0">
        <w:t xml:space="preserve"> </w:t>
      </w:r>
      <w:r w:rsidRPr="00BF4FE5">
        <w:t>the SSF would directly strengthen case progression and access to justice.</w:t>
      </w:r>
    </w:p>
    <w:p w14:paraId="34D02F85" w14:textId="2DC02F58" w:rsidR="004C26D0" w:rsidRPr="00B74EE0" w:rsidRDefault="00285338" w:rsidP="004C26D0">
      <w:pPr>
        <w:spacing w:after="0"/>
        <w:jc w:val="both"/>
        <w:rPr>
          <w:lang w:val="en-GB"/>
        </w:rPr>
      </w:pPr>
      <w:r w:rsidRPr="00285338">
        <w:rPr>
          <w:b/>
          <w:bCs/>
          <w:lang w:val="en-GB"/>
        </w:rPr>
        <w:t>Advantages:</w:t>
      </w:r>
      <w:r w:rsidRPr="00285338">
        <w:rPr>
          <w:lang w:val="en-GB"/>
        </w:rPr>
        <w:t xml:space="preserve"> Reduces financial barriers; increases court case follow-through.</w:t>
      </w:r>
      <w:r w:rsidRPr="00285338">
        <w:rPr>
          <w:lang w:val="en-GB"/>
        </w:rPr>
        <w:br/>
      </w:r>
      <w:r w:rsidRPr="00285338">
        <w:rPr>
          <w:b/>
          <w:bCs/>
          <w:lang w:val="en-GB"/>
        </w:rPr>
        <w:t>Equity:</w:t>
      </w:r>
      <w:r w:rsidRPr="00285338">
        <w:rPr>
          <w:lang w:val="en-GB"/>
        </w:rPr>
        <w:t xml:space="preserve"> </w:t>
      </w:r>
      <w:r w:rsidR="004C26D0" w:rsidRPr="008F794D">
        <w:t xml:space="preserve">High, especially for </w:t>
      </w:r>
      <w:r w:rsidR="004C26D0" w:rsidRPr="008F794D">
        <w:rPr>
          <w:b/>
          <w:bCs/>
        </w:rPr>
        <w:t>poorest households and those living furthest from the road network</w:t>
      </w:r>
      <w:r w:rsidR="004C26D0" w:rsidRPr="008F794D">
        <w:t>.</w:t>
      </w:r>
      <w:r w:rsidR="004C26D0">
        <w:t xml:space="preserve"> </w:t>
      </w:r>
      <w:r w:rsidR="004C26D0" w:rsidRPr="00B74EE0">
        <w:rPr>
          <w:lang w:val="en-GB"/>
        </w:rPr>
        <w:t xml:space="preserve"> Survivors from </w:t>
      </w:r>
      <w:r w:rsidR="004C26D0" w:rsidRPr="00B74EE0">
        <w:rPr>
          <w:b/>
          <w:bCs/>
          <w:lang w:val="en-GB"/>
        </w:rPr>
        <w:t>remote / hard-to-reach TAs</w:t>
      </w:r>
      <w:r w:rsidR="004C26D0" w:rsidRPr="00B74EE0">
        <w:rPr>
          <w:lang w:val="en-GB"/>
        </w:rPr>
        <w:t xml:space="preserve"> (flood-isolated parts)</w:t>
      </w:r>
      <w:r w:rsidR="004C26D0">
        <w:rPr>
          <w:lang w:val="en-GB"/>
        </w:rPr>
        <w:t>, s</w:t>
      </w:r>
      <w:r w:rsidR="004C26D0" w:rsidRPr="00B74EE0">
        <w:rPr>
          <w:lang w:val="en-GB"/>
        </w:rPr>
        <w:t xml:space="preserve">urvivors with </w:t>
      </w:r>
      <w:r w:rsidR="004C26D0" w:rsidRPr="00B74EE0">
        <w:rPr>
          <w:b/>
          <w:bCs/>
          <w:lang w:val="en-GB"/>
        </w:rPr>
        <w:t>disability</w:t>
      </w:r>
      <w:r w:rsidR="004C26D0" w:rsidRPr="00B74EE0">
        <w:rPr>
          <w:lang w:val="en-GB"/>
        </w:rPr>
        <w:t>, minors, and those at high lethality risk</w:t>
      </w:r>
      <w:r w:rsidR="004C26D0">
        <w:rPr>
          <w:lang w:val="en-GB"/>
        </w:rPr>
        <w:t xml:space="preserve"> and t</w:t>
      </w:r>
      <w:r w:rsidR="004C26D0" w:rsidRPr="00B74EE0">
        <w:rPr>
          <w:lang w:val="en-GB"/>
        </w:rPr>
        <w:t>hose below a simple poverty threshold (screened via local criteria)</w:t>
      </w:r>
    </w:p>
    <w:p w14:paraId="31BBBE62" w14:textId="77777777" w:rsidR="004C26D0" w:rsidRDefault="004C26D0" w:rsidP="004C26D0">
      <w:pPr>
        <w:jc w:val="both"/>
        <w:rPr>
          <w:lang w:val="en-GB"/>
        </w:rPr>
      </w:pPr>
      <w:r>
        <w:t xml:space="preserve">Feasibility: </w:t>
      </w:r>
      <w:r w:rsidRPr="00285338">
        <w:rPr>
          <w:lang w:val="en-GB"/>
        </w:rPr>
        <w:t>High with partner support.</w:t>
      </w:r>
    </w:p>
    <w:p w14:paraId="310022B0" w14:textId="5EC0AB07" w:rsidR="00AD30BC" w:rsidRPr="00285338" w:rsidRDefault="00AD30BC" w:rsidP="00AD30BC">
      <w:pPr>
        <w:rPr>
          <w:b/>
          <w:bCs/>
          <w:color w:val="CC00CC"/>
          <w:lang w:val="en-GB"/>
        </w:rPr>
      </w:pPr>
      <w:r w:rsidRPr="00285338">
        <w:rPr>
          <w:b/>
          <w:bCs/>
          <w:color w:val="CC00CC"/>
          <w:lang w:val="en-GB"/>
        </w:rPr>
        <w:t xml:space="preserve">Policy Option </w:t>
      </w:r>
      <w:r>
        <w:rPr>
          <w:b/>
          <w:bCs/>
          <w:color w:val="CC00CC"/>
          <w:lang w:val="en-GB"/>
        </w:rPr>
        <w:t>3</w:t>
      </w:r>
      <w:r w:rsidRPr="00285338">
        <w:rPr>
          <w:b/>
          <w:bCs/>
          <w:color w:val="CC00CC"/>
          <w:lang w:val="en-GB"/>
        </w:rPr>
        <w:t xml:space="preserve">: </w:t>
      </w:r>
      <w:r w:rsidR="00632A8D">
        <w:rPr>
          <w:b/>
          <w:bCs/>
          <w:color w:val="CC00CC"/>
          <w:lang w:val="en-GB"/>
        </w:rPr>
        <w:t>Co-design u</w:t>
      </w:r>
      <w:r w:rsidRPr="00285338">
        <w:rPr>
          <w:b/>
          <w:bCs/>
          <w:color w:val="CC00CC"/>
          <w:lang w:val="en-GB"/>
        </w:rPr>
        <w:t>pgrad</w:t>
      </w:r>
      <w:r w:rsidR="000E0998">
        <w:rPr>
          <w:b/>
          <w:bCs/>
          <w:color w:val="CC00CC"/>
          <w:lang w:val="en-GB"/>
        </w:rPr>
        <w:t>ing of</w:t>
      </w:r>
      <w:r w:rsidRPr="00285338">
        <w:rPr>
          <w:b/>
          <w:bCs/>
          <w:color w:val="CC00CC"/>
          <w:lang w:val="en-GB"/>
        </w:rPr>
        <w:t xml:space="preserve"> Corridor-Based High-Volume Facilities</w:t>
      </w:r>
      <w:r w:rsidR="000E0998">
        <w:rPr>
          <w:b/>
          <w:bCs/>
          <w:color w:val="CC00CC"/>
          <w:lang w:val="en-GB"/>
        </w:rPr>
        <w:t xml:space="preserve"> </w:t>
      </w:r>
    </w:p>
    <w:p w14:paraId="66004FA7" w14:textId="77777777" w:rsidR="00FB29E4" w:rsidRDefault="00AD30BC" w:rsidP="00CF170B">
      <w:pPr>
        <w:jc w:val="both"/>
        <w:rPr>
          <w:lang w:val="en-GB"/>
        </w:rPr>
      </w:pPr>
      <w:r w:rsidRPr="00285338">
        <w:rPr>
          <w:lang w:val="en-GB"/>
        </w:rPr>
        <w:t>Facilities along the main Mzimba transport corridor manage large caseloads. Strengthening their counselling spaces, privacy infrastructure, and medico-legal documentation capacity would reduce unnecessary referrals and improve service quality.</w:t>
      </w:r>
    </w:p>
    <w:p w14:paraId="414CC0EC" w14:textId="64B2F7F7" w:rsidR="00142925" w:rsidRPr="00142925" w:rsidRDefault="00142925" w:rsidP="00CF170B">
      <w:pPr>
        <w:tabs>
          <w:tab w:val="num" w:pos="720"/>
        </w:tabs>
        <w:jc w:val="both"/>
        <w:rPr>
          <w:lang w:val="en-GB"/>
        </w:rPr>
      </w:pPr>
      <w:r w:rsidRPr="00142925">
        <w:rPr>
          <w:lang w:val="en-GB"/>
        </w:rPr>
        <w:t>Co-design upgrades with Organisations of Persons with Disabilities (OPDs)</w:t>
      </w:r>
      <w:r w:rsidR="000E0998">
        <w:rPr>
          <w:lang w:val="en-GB"/>
        </w:rPr>
        <w:t xml:space="preserve"> </w:t>
      </w:r>
      <w:r w:rsidRPr="00142925">
        <w:rPr>
          <w:lang w:val="en-GB"/>
        </w:rPr>
        <w:t xml:space="preserve">at district level to test access routes, advise on practical modifications, and validate whether reported “Yes” responses on accessibility reflect </w:t>
      </w:r>
      <w:r w:rsidRPr="00142925">
        <w:rPr>
          <w:b/>
          <w:bCs/>
          <w:lang w:val="en-GB"/>
        </w:rPr>
        <w:t>real, user-experienced access</w:t>
      </w:r>
      <w:r w:rsidRPr="00142925">
        <w:rPr>
          <w:lang w:val="en-GB"/>
        </w:rPr>
        <w:t>, not just provider perception.</w:t>
      </w:r>
    </w:p>
    <w:p w14:paraId="7388433F" w14:textId="77777777" w:rsidR="00CF170B" w:rsidRDefault="00DF7E99" w:rsidP="00CF170B">
      <w:pPr>
        <w:jc w:val="both"/>
      </w:pPr>
      <w:r w:rsidRPr="00DF7E99">
        <w:t>Set minimum accessibility standards</w:t>
      </w:r>
      <w:r>
        <w:t xml:space="preserve"> </w:t>
      </w:r>
      <w:r w:rsidR="00017559">
        <w:t xml:space="preserve">or </w:t>
      </w:r>
      <w:r w:rsidR="00017559" w:rsidRPr="00FB29E4">
        <w:t>a basic package</w:t>
      </w:r>
      <w:r w:rsidRPr="00DF7E99">
        <w:t xml:space="preserve"> for GBV service points</w:t>
      </w:r>
      <w:r>
        <w:t xml:space="preserve"> </w:t>
      </w:r>
      <w:r w:rsidR="00FB29E4" w:rsidRPr="00FB29E4">
        <w:t>(ramp or gently sloped entrance, firm pathways, accessible latrine, clear signage) that all GBV service providers should progressively meet</w:t>
      </w:r>
      <w:r w:rsidR="00017559">
        <w:t xml:space="preserve">. </w:t>
      </w:r>
    </w:p>
    <w:p w14:paraId="6D3F8AB5" w14:textId="6CF7BE3A" w:rsidR="00AD30BC" w:rsidRPr="00285338" w:rsidRDefault="00AD30BC" w:rsidP="00CF170B">
      <w:pPr>
        <w:rPr>
          <w:lang w:val="en-GB"/>
        </w:rPr>
      </w:pPr>
      <w:r w:rsidRPr="00285338">
        <w:rPr>
          <w:b/>
          <w:bCs/>
          <w:lang w:val="en-GB"/>
        </w:rPr>
        <w:t>Advantages:</w:t>
      </w:r>
      <w:r w:rsidRPr="00285338">
        <w:rPr>
          <w:lang w:val="en-GB"/>
        </w:rPr>
        <w:t xml:space="preserve"> Builds on existing strong hubs; improves efficiency and quality.</w:t>
      </w:r>
      <w:r w:rsidRPr="00285338">
        <w:rPr>
          <w:lang w:val="en-GB"/>
        </w:rPr>
        <w:br/>
      </w:r>
      <w:r w:rsidRPr="00285338">
        <w:rPr>
          <w:b/>
          <w:bCs/>
          <w:lang w:val="en-GB"/>
        </w:rPr>
        <w:t>Feasibility:</w:t>
      </w:r>
      <w:r w:rsidRPr="00285338">
        <w:rPr>
          <w:lang w:val="en-GB"/>
        </w:rPr>
        <w:t xml:space="preserve"> High.</w:t>
      </w:r>
      <w:r w:rsidRPr="00285338">
        <w:rPr>
          <w:lang w:val="en-GB"/>
        </w:rPr>
        <w:br/>
      </w:r>
      <w:r w:rsidRPr="00285338">
        <w:rPr>
          <w:b/>
          <w:bCs/>
          <w:lang w:val="en-GB"/>
        </w:rPr>
        <w:t>Equity:</w:t>
      </w:r>
      <w:r w:rsidRPr="00285338">
        <w:rPr>
          <w:lang w:val="en-GB"/>
        </w:rPr>
        <w:t xml:space="preserve"> Benefits densely populated areas.</w:t>
      </w:r>
    </w:p>
    <w:p w14:paraId="1B8BA257" w14:textId="77777777" w:rsidR="00285338" w:rsidRPr="00285338" w:rsidRDefault="00285338" w:rsidP="00D04BBC">
      <w:pPr>
        <w:jc w:val="both"/>
        <w:rPr>
          <w:b/>
          <w:bCs/>
          <w:color w:val="CC00CC"/>
          <w:lang w:val="en-GB"/>
        </w:rPr>
      </w:pPr>
      <w:r w:rsidRPr="00285338">
        <w:rPr>
          <w:b/>
          <w:bCs/>
          <w:color w:val="CC00CC"/>
          <w:lang w:val="en-GB"/>
        </w:rPr>
        <w:t>Policy Option 4: Institutionalising GIS for Planning and Resource Allocation</w:t>
      </w:r>
    </w:p>
    <w:p w14:paraId="56DFB008" w14:textId="615C51EF" w:rsidR="00285338" w:rsidRDefault="00285338" w:rsidP="00D04BBC">
      <w:pPr>
        <w:jc w:val="both"/>
        <w:rPr>
          <w:lang w:val="en-GB"/>
        </w:rPr>
      </w:pPr>
      <w:r w:rsidRPr="00285338">
        <w:rPr>
          <w:lang w:val="en-GB"/>
        </w:rPr>
        <w:t>Annual GIS-based audits of service coverage, population density, travel times and TA-level gaps would inform district GBV planning and budgeting.</w:t>
      </w:r>
      <w:r w:rsidRPr="00285338">
        <w:rPr>
          <w:lang w:val="en-GB"/>
        </w:rPr>
        <w:br/>
      </w:r>
      <w:r w:rsidRPr="00285338">
        <w:rPr>
          <w:b/>
          <w:bCs/>
          <w:lang w:val="en-GB"/>
        </w:rPr>
        <w:t>Advantages:</w:t>
      </w:r>
      <w:r w:rsidRPr="00285338">
        <w:rPr>
          <w:lang w:val="en-GB"/>
        </w:rPr>
        <w:t xml:space="preserve"> Enhances evidence-based prioritisation; prevents spatial neglect.</w:t>
      </w:r>
      <w:r w:rsidRPr="00285338">
        <w:rPr>
          <w:lang w:val="en-GB"/>
        </w:rPr>
        <w:br/>
      </w:r>
      <w:r w:rsidRPr="00285338">
        <w:rPr>
          <w:b/>
          <w:bCs/>
          <w:lang w:val="en-GB"/>
        </w:rPr>
        <w:t>Feasibility:</w:t>
      </w:r>
      <w:r w:rsidRPr="00285338">
        <w:rPr>
          <w:lang w:val="en-GB"/>
        </w:rPr>
        <w:t xml:space="preserve"> High with partner support.</w:t>
      </w:r>
    </w:p>
    <w:p w14:paraId="51969553" w14:textId="77777777" w:rsidR="00926A27" w:rsidRPr="00893141" w:rsidRDefault="00926A27" w:rsidP="00926A27">
      <w:pPr>
        <w:pStyle w:val="Heading2"/>
        <w:rPr>
          <w:b/>
          <w:bCs/>
          <w:lang w:val="en-GB"/>
        </w:rPr>
      </w:pPr>
      <w:r w:rsidRPr="00893141">
        <w:rPr>
          <w:b/>
          <w:bCs/>
          <w:lang w:val="en-GB"/>
        </w:rPr>
        <w:t>Methodology</w:t>
      </w:r>
    </w:p>
    <w:p w14:paraId="18EB83A5" w14:textId="77777777" w:rsidR="00926A27" w:rsidRDefault="00926A27" w:rsidP="00893141">
      <w:pPr>
        <w:jc w:val="both"/>
        <w:rPr>
          <w:lang w:val="en-GB"/>
        </w:rPr>
      </w:pPr>
      <w:r w:rsidRPr="00926A27">
        <w:rPr>
          <w:lang w:val="en-GB"/>
        </w:rPr>
        <w:t>Policy options were derived from spatial accessibility modelling (travel time surfaces, road networks, elevation) and TA-level population density analysis. Facility-level referral and resolution data (2022–2025) were triangulated with key informant consultations with police, health workers, CVUs, and district officers. Evidence quality was assessed through data completeness checks and plausibility reviews.</w:t>
      </w:r>
    </w:p>
    <w:p w14:paraId="36A92A55" w14:textId="14A2C3B1" w:rsidR="00926A27" w:rsidRPr="00893141" w:rsidRDefault="00926A27" w:rsidP="00926A27">
      <w:pPr>
        <w:pStyle w:val="Heading2"/>
        <w:rPr>
          <w:b/>
          <w:bCs/>
          <w:lang w:val="en-GB"/>
        </w:rPr>
      </w:pPr>
      <w:r w:rsidRPr="00893141">
        <w:rPr>
          <w:b/>
          <w:bCs/>
          <w:lang w:val="en-GB"/>
        </w:rPr>
        <w:t>Further Important Considerations</w:t>
      </w:r>
    </w:p>
    <w:p w14:paraId="58CF4C27" w14:textId="77777777" w:rsidR="003567B3" w:rsidRPr="00926A27" w:rsidRDefault="003567B3" w:rsidP="003567B3">
      <w:pPr>
        <w:jc w:val="both"/>
        <w:rPr>
          <w:lang w:val="en-GB"/>
        </w:rPr>
      </w:pPr>
      <w:r w:rsidRPr="005E5010">
        <w:t>Because of data-quality limitations (inconsistent definitions, outliers, missing values), the figures in this study were best treated as operational estimates rather than precise surveillance statistics. This implied that the rollout of recommendations should be coupled with an explicit monitoring and learning agenda: annual updates to GIS layers and dashboards, routine data-quality checks, and periodic sense-making sessions at district level to review patterns (e.g. travel times, referral completion, court progression) and adjust interventions accordingly. Over time, this iterative use of data could be more transformative than any single investment in infrastructure or training.</w:t>
      </w:r>
    </w:p>
    <w:p w14:paraId="13F08660" w14:textId="5C3A9241" w:rsidR="00926A27" w:rsidRPr="00893141" w:rsidRDefault="00926A27" w:rsidP="00926A27">
      <w:pPr>
        <w:pStyle w:val="Heading2"/>
        <w:rPr>
          <w:b/>
          <w:bCs/>
          <w:lang w:val="en-GB"/>
        </w:rPr>
      </w:pPr>
      <w:r w:rsidRPr="00893141">
        <w:rPr>
          <w:b/>
          <w:bCs/>
          <w:lang w:val="en-GB"/>
        </w:rPr>
        <w:lastRenderedPageBreak/>
        <w:t>Acknowledgements</w:t>
      </w:r>
    </w:p>
    <w:p w14:paraId="0D5FCDDF" w14:textId="60E6E9CA" w:rsidR="00926A27" w:rsidRPr="00926A27" w:rsidRDefault="00926A27" w:rsidP="005F6A2D">
      <w:pPr>
        <w:jc w:val="both"/>
        <w:rPr>
          <w:lang w:val="en-GB"/>
        </w:rPr>
      </w:pPr>
      <w:r w:rsidRPr="00926A27">
        <w:rPr>
          <w:lang w:val="en-GB"/>
        </w:rPr>
        <w:t>Prepared in collaboration with the M</w:t>
      </w:r>
      <w:r w:rsidR="003567B3">
        <w:rPr>
          <w:lang w:val="en-GB"/>
        </w:rPr>
        <w:t>chinji</w:t>
      </w:r>
      <w:r w:rsidRPr="00926A27">
        <w:rPr>
          <w:lang w:val="en-GB"/>
        </w:rPr>
        <w:t xml:space="preserve"> District Gender Office, Social Welfare Office, Health Office, MICGBV partners, and frontline GBV service providers.</w:t>
      </w:r>
    </w:p>
    <w:p w14:paraId="009B66D2" w14:textId="77777777" w:rsidR="00926A27" w:rsidRDefault="00926A27" w:rsidP="00285338">
      <w:pPr>
        <w:rPr>
          <w:lang w:val="en-GB"/>
        </w:rPr>
      </w:pPr>
    </w:p>
    <w:p w14:paraId="25F33910" w14:textId="4B9E1D8B" w:rsidR="004D76D5" w:rsidRDefault="004D76D5" w:rsidP="00285338">
      <w:pPr>
        <w:rPr>
          <w:lang w:val="en-GB"/>
        </w:rPr>
      </w:pPr>
    </w:p>
    <w:p w14:paraId="03FA0DC9" w14:textId="77777777" w:rsidR="00185975" w:rsidRDefault="00185975" w:rsidP="00285338">
      <w:pPr>
        <w:rPr>
          <w:lang w:val="en-GB"/>
        </w:rPr>
      </w:pPr>
    </w:p>
    <w:p w14:paraId="43B8CDF2" w14:textId="77777777" w:rsidR="00185975" w:rsidRDefault="00185975" w:rsidP="00285338">
      <w:pPr>
        <w:rPr>
          <w:lang w:val="en-GB"/>
        </w:rPr>
      </w:pPr>
    </w:p>
    <w:p w14:paraId="548D7E1D" w14:textId="77777777" w:rsidR="00185975" w:rsidRPr="00285338" w:rsidRDefault="00185975" w:rsidP="00285338">
      <w:pPr>
        <w:rPr>
          <w:lang w:val="en-GB"/>
        </w:rPr>
      </w:pPr>
    </w:p>
    <w:p w14:paraId="4191545C" w14:textId="77777777" w:rsidR="00285338" w:rsidRDefault="00285338"/>
    <w:sectPr w:rsidR="00285338" w:rsidSect="002111AE">
      <w:headerReference w:type="even" r:id="rId10"/>
      <w:headerReference w:type="default" r:id="rId11"/>
      <w:footerReference w:type="even" r:id="rId12"/>
      <w:footerReference w:type="default" r:id="rId13"/>
      <w:pgSz w:w="12240" w:h="15840" w:code="1"/>
      <w:pgMar w:top="1440" w:right="758" w:bottom="993" w:left="993" w:header="720" w:footer="0" w:gutter="0"/>
      <w:pgNumType w:start="1"/>
      <w:cols w:num="2"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8DA08" w14:textId="77777777" w:rsidR="00B92764" w:rsidRDefault="00B92764">
      <w:pPr>
        <w:spacing w:after="0" w:line="240" w:lineRule="auto"/>
      </w:pPr>
      <w:r>
        <w:separator/>
      </w:r>
    </w:p>
  </w:endnote>
  <w:endnote w:type="continuationSeparator" w:id="0">
    <w:p w14:paraId="41773781" w14:textId="77777777" w:rsidR="00B92764" w:rsidRDefault="00B92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GMinchoE">
    <w:charset w:val="80"/>
    <w:family w:val="modern"/>
    <w:pitch w:val="fixed"/>
    <w:sig w:usb0="E00002FF" w:usb1="2AC7EDFE" w:usb2="00000012" w:usb3="00000000" w:csb0="0002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C5A64" w14:textId="77777777" w:rsidR="00803E12" w:rsidRDefault="009C4143">
    <w:pPr>
      <w:pStyle w:val="FooterLeft"/>
    </w:pPr>
    <w:r>
      <w:rPr>
        <w:color w:val="CEDBE6" w:themeColor="accent2" w:themeTint="80"/>
      </w:rPr>
      <w:sym w:font="Wingdings 3" w:char="F07D"/>
    </w:r>
    <w:r>
      <w:t xml:space="preserve"> Page </w:t>
    </w:r>
    <w:r>
      <w:fldChar w:fldCharType="begin"/>
    </w:r>
    <w:r>
      <w:instrText xml:space="preserve"> PAGE  \* Arabic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FF788" w14:textId="77777777" w:rsidR="002111AE" w:rsidRDefault="002111AE">
    <w:pPr>
      <w:pStyle w:val="FooterRight"/>
    </w:pPr>
    <w:r>
      <w:rPr>
        <w:color w:val="9FB8CD" w:themeColor="accent2"/>
      </w:rPr>
      <w:sym w:font="Wingdings 3" w:char="F07D"/>
    </w:r>
    <w:r>
      <w:t xml:space="preserve"> Page </w:t>
    </w:r>
    <w:r>
      <w:fldChar w:fldCharType="begin"/>
    </w:r>
    <w:r>
      <w:instrText xml:space="preserve"> PAGE  \* Arabic  \* MERGEFORMAT </w:instrText>
    </w:r>
    <w:r>
      <w:fldChar w:fldCharType="separate"/>
    </w:r>
    <w:r>
      <w:rPr>
        <w:noProof/>
      </w:rPr>
      <w:t>1</w:t>
    </w:r>
    <w:r>
      <w:rPr>
        <w:noProof/>
      </w:rPr>
      <w:fldChar w:fldCharType="end"/>
    </w:r>
  </w:p>
  <w:p w14:paraId="5C5A3FA3" w14:textId="4A62291C" w:rsidR="00803E12" w:rsidRDefault="00803E12">
    <w:pPr>
      <w:pStyle w:val="Footer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A65CE" w14:textId="77777777" w:rsidR="00B92764" w:rsidRDefault="00B92764">
      <w:pPr>
        <w:spacing w:after="0" w:line="240" w:lineRule="auto"/>
      </w:pPr>
      <w:r>
        <w:separator/>
      </w:r>
    </w:p>
  </w:footnote>
  <w:footnote w:type="continuationSeparator" w:id="0">
    <w:p w14:paraId="54205044" w14:textId="77777777" w:rsidR="00B92764" w:rsidRDefault="00B927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63AFC" w14:textId="125D15AF" w:rsidR="00803E12" w:rsidRDefault="009C4143">
    <w:pPr>
      <w:pStyle w:val="HeaderLeft"/>
      <w:jc w:val="right"/>
    </w:pPr>
    <w:r>
      <w:rPr>
        <w:color w:val="CEDBE6" w:themeColor="accent2" w:themeTint="80"/>
      </w:rPr>
      <w:sym w:font="Wingdings 3" w:char="F07D"/>
    </w:r>
    <w:r>
      <w:t xml:space="preserve"> </w:t>
    </w:r>
    <w:sdt>
      <w:sdtPr>
        <w:alias w:val="Title"/>
        <w:id w:val="168006723"/>
        <w:dataBinding w:prefixMappings="xmlns:ns0='http://schemas.openxmlformats.org/package/2006/metadata/core-properties' xmlns:ns1='http://purl.org/dc/elements/1.1/'" w:xpath="/ns0:coreProperties[1]/ns1:title[1]" w:storeItemID="{6C3C8BC8-F283-45AE-878A-BAB7291924A1}"/>
        <w:text/>
      </w:sdtPr>
      <w:sdtEndPr/>
      <w:sdtContent>
        <w:r w:rsidR="00CE3AAE">
          <w:t>POLICY BRIEF — MCHINJI DISTRICT</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2BD2A" w14:textId="2F9EFDAD" w:rsidR="00803E12" w:rsidRDefault="00302890">
    <w:pPr>
      <w:pStyle w:val="HeaderRight"/>
      <w:jc w:val="left"/>
    </w:pPr>
    <w:r>
      <w:rPr>
        <w:noProof/>
      </w:rPr>
      <w:drawing>
        <wp:anchor distT="0" distB="0" distL="114300" distR="114300" simplePos="0" relativeHeight="251659776" behindDoc="0" locked="0" layoutInCell="1" allowOverlap="1" wp14:anchorId="49CB626C" wp14:editId="4521919F">
          <wp:simplePos x="0" y="0"/>
          <wp:positionH relativeFrom="margin">
            <wp:posOffset>4937125</wp:posOffset>
          </wp:positionH>
          <wp:positionV relativeFrom="margin">
            <wp:posOffset>-850900</wp:posOffset>
          </wp:positionV>
          <wp:extent cx="1184275" cy="719455"/>
          <wp:effectExtent l="0" t="0" r="0" b="4445"/>
          <wp:wrapSquare wrapText="bothSides"/>
          <wp:docPr id="1075010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247071" name="Picture 546247071"/>
                  <pic:cNvPicPr/>
                </pic:nvPicPr>
                <pic:blipFill>
                  <a:blip r:embed="rId1">
                    <a:extLst>
                      <a:ext uri="{28A0092B-C50C-407E-A947-70E740481C1C}">
                        <a14:useLocalDpi xmlns:a14="http://schemas.microsoft.com/office/drawing/2010/main" val="0"/>
                      </a:ext>
                    </a:extLst>
                  </a:blip>
                  <a:stretch>
                    <a:fillRect/>
                  </a:stretch>
                </pic:blipFill>
                <pic:spPr>
                  <a:xfrm>
                    <a:off x="0" y="0"/>
                    <a:ext cx="1184275" cy="719455"/>
                  </a:xfrm>
                  <a:prstGeom prst="rect">
                    <a:avLst/>
                  </a:prstGeom>
                </pic:spPr>
              </pic:pic>
            </a:graphicData>
          </a:graphic>
        </wp:anchor>
      </w:drawing>
    </w:r>
    <w:r w:rsidR="009C4143">
      <w:rPr>
        <w:color w:val="CEDBE6" w:themeColor="accent2" w:themeTint="80"/>
      </w:rPr>
      <w:sym w:font="Wingdings 3" w:char="F07D"/>
    </w:r>
    <w:r w:rsidR="009C4143">
      <w:t xml:space="preserve"> </w:t>
    </w:r>
    <w:sdt>
      <w:sdtPr>
        <w:rPr>
          <w:b/>
          <w:bCs/>
          <w:color w:val="7030A0"/>
          <w:sz w:val="24"/>
          <w:szCs w:val="24"/>
        </w:rPr>
        <w:alias w:val="Title"/>
        <w:id w:val="-1280636935"/>
        <w:dataBinding w:prefixMappings="xmlns:ns0='http://schemas.openxmlformats.org/package/2006/metadata/core-properties' xmlns:ns1='http://purl.org/dc/elements/1.1/'" w:xpath="/ns0:coreProperties[1]/ns1:title[1]" w:storeItemID="{6C3C8BC8-F283-45AE-878A-BAB7291924A1}"/>
        <w:text/>
      </w:sdtPr>
      <w:sdtEndPr/>
      <w:sdtContent>
        <w:r w:rsidR="008A13C0" w:rsidRPr="008A13C0">
          <w:rPr>
            <w:b/>
            <w:bCs/>
            <w:color w:val="7030A0"/>
            <w:sz w:val="24"/>
            <w:szCs w:val="24"/>
          </w:rPr>
          <w:t xml:space="preserve">POLICY BRIEF — </w:t>
        </w:r>
        <w:r w:rsidR="00CE3AAE">
          <w:rPr>
            <w:b/>
            <w:bCs/>
            <w:color w:val="7030A0"/>
            <w:sz w:val="24"/>
            <w:szCs w:val="24"/>
          </w:rPr>
          <w:t>MCHINJI</w:t>
        </w:r>
        <w:r w:rsidR="008A13C0" w:rsidRPr="008A13C0">
          <w:rPr>
            <w:b/>
            <w:bCs/>
            <w:color w:val="7030A0"/>
            <w:sz w:val="24"/>
            <w:szCs w:val="24"/>
          </w:rPr>
          <w:t xml:space="preserve"> DISTRICT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F0C434A"/>
    <w:lvl w:ilvl="0">
      <w:start w:val="1"/>
      <w:numFmt w:val="bullet"/>
      <w:pStyle w:val="ListBullet5"/>
      <w:lvlText w:val=""/>
      <w:lvlJc w:val="left"/>
      <w:pPr>
        <w:ind w:left="1800" w:hanging="360"/>
      </w:pPr>
      <w:rPr>
        <w:rFonts w:ascii="Symbol" w:hAnsi="Symbol" w:hint="default"/>
        <w:color w:val="9FB8CD" w:themeColor="accent2"/>
      </w:rPr>
    </w:lvl>
  </w:abstractNum>
  <w:abstractNum w:abstractNumId="1" w15:restartNumberingAfterBreak="0">
    <w:nsid w:val="FFFFFF81"/>
    <w:multiLevelType w:val="singleLevel"/>
    <w:tmpl w:val="78B8BCEC"/>
    <w:lvl w:ilvl="0">
      <w:start w:val="1"/>
      <w:numFmt w:val="bullet"/>
      <w:pStyle w:val="ListBullet4"/>
      <w:lvlText w:val=""/>
      <w:lvlJc w:val="left"/>
      <w:pPr>
        <w:ind w:left="1440" w:hanging="360"/>
      </w:pPr>
      <w:rPr>
        <w:rFonts w:ascii="Symbol" w:hAnsi="Symbol" w:hint="default"/>
        <w:outline w:val="0"/>
        <w:emboss w:val="0"/>
        <w:imprint w:val="0"/>
        <w:color w:val="628BAD" w:themeColor="accent2" w:themeShade="BF"/>
      </w:rPr>
    </w:lvl>
  </w:abstractNum>
  <w:abstractNum w:abstractNumId="2" w15:restartNumberingAfterBreak="0">
    <w:nsid w:val="FFFFFF82"/>
    <w:multiLevelType w:val="singleLevel"/>
    <w:tmpl w:val="3D9E3420"/>
    <w:lvl w:ilvl="0">
      <w:start w:val="1"/>
      <w:numFmt w:val="bullet"/>
      <w:pStyle w:val="ListBullet3"/>
      <w:lvlText w:val=""/>
      <w:lvlJc w:val="left"/>
      <w:pPr>
        <w:ind w:left="1080" w:hanging="360"/>
      </w:pPr>
      <w:rPr>
        <w:rFonts w:ascii="Wingdings 3" w:hAnsi="Wingdings 3" w:hint="default"/>
        <w:color w:val="808080" w:themeColor="background1" w:themeShade="80"/>
      </w:rPr>
    </w:lvl>
  </w:abstractNum>
  <w:abstractNum w:abstractNumId="3" w15:restartNumberingAfterBreak="0">
    <w:nsid w:val="FFFFFF83"/>
    <w:multiLevelType w:val="singleLevel"/>
    <w:tmpl w:val="5B846FA6"/>
    <w:lvl w:ilvl="0">
      <w:start w:val="1"/>
      <w:numFmt w:val="bullet"/>
      <w:pStyle w:val="ListBullet2"/>
      <w:lvlText w:val=""/>
      <w:lvlJc w:val="left"/>
      <w:pPr>
        <w:ind w:left="720" w:hanging="360"/>
      </w:pPr>
      <w:rPr>
        <w:rFonts w:ascii="Wingdings 3" w:hAnsi="Wingdings 3" w:hint="default"/>
        <w:color w:val="9FB8CD" w:themeColor="accent2"/>
      </w:rPr>
    </w:lvl>
  </w:abstractNum>
  <w:abstractNum w:abstractNumId="4" w15:restartNumberingAfterBreak="0">
    <w:nsid w:val="FFFFFF89"/>
    <w:multiLevelType w:val="singleLevel"/>
    <w:tmpl w:val="4C7CAEF2"/>
    <w:lvl w:ilvl="0">
      <w:start w:val="1"/>
      <w:numFmt w:val="bullet"/>
      <w:pStyle w:val="ListBullet"/>
      <w:lvlText w:val=""/>
      <w:lvlJc w:val="left"/>
      <w:pPr>
        <w:ind w:left="360" w:hanging="360"/>
      </w:pPr>
      <w:rPr>
        <w:rFonts w:ascii="Wingdings 3" w:hAnsi="Wingdings 3" w:hint="default"/>
        <w:caps w:val="0"/>
        <w:strike w:val="0"/>
        <w:dstrike w:val="0"/>
        <w:outline w:val="0"/>
        <w:shadow w:val="0"/>
        <w:emboss w:val="0"/>
        <w:imprint w:val="0"/>
        <w:vanish w:val="0"/>
        <w:color w:val="628BAD" w:themeColor="accent2" w:themeShade="BF"/>
        <w:vertAlign w:val="baseline"/>
      </w:rPr>
    </w:lvl>
  </w:abstractNum>
  <w:abstractNum w:abstractNumId="5" w15:restartNumberingAfterBreak="0">
    <w:nsid w:val="05D1513C"/>
    <w:multiLevelType w:val="multilevel"/>
    <w:tmpl w:val="68E80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0C11F4"/>
    <w:multiLevelType w:val="multilevel"/>
    <w:tmpl w:val="E4CC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05579C"/>
    <w:multiLevelType w:val="multilevel"/>
    <w:tmpl w:val="E6C0182A"/>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4A5CC8"/>
    <w:multiLevelType w:val="multilevel"/>
    <w:tmpl w:val="A1AE430A"/>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0173C6"/>
    <w:multiLevelType w:val="multilevel"/>
    <w:tmpl w:val="A66034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A44D02"/>
    <w:multiLevelType w:val="multilevel"/>
    <w:tmpl w:val="5CA2375C"/>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005149"/>
    <w:multiLevelType w:val="multilevel"/>
    <w:tmpl w:val="5B567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2E23CB"/>
    <w:multiLevelType w:val="multilevel"/>
    <w:tmpl w:val="D6D4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697867"/>
    <w:multiLevelType w:val="multilevel"/>
    <w:tmpl w:val="9CDADE0A"/>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1E6DA2"/>
    <w:multiLevelType w:val="multilevel"/>
    <w:tmpl w:val="5A92E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9F215F"/>
    <w:multiLevelType w:val="multilevel"/>
    <w:tmpl w:val="FDF6571E"/>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012D95"/>
    <w:multiLevelType w:val="multilevel"/>
    <w:tmpl w:val="FFD0614C"/>
    <w:lvl w:ilvl="0">
      <w:start w:val="1"/>
      <w:numFmt w:val="bullet"/>
      <w:lvlText w:val=""/>
      <w:lvlJc w:val="left"/>
      <w:pPr>
        <w:tabs>
          <w:tab w:val="num" w:pos="502"/>
        </w:tabs>
        <w:ind w:left="502" w:hanging="360"/>
      </w:pPr>
      <w:rPr>
        <w:rFonts w:ascii="Symbol" w:hAnsi="Symbol" w:hint="default"/>
        <w:color w:val="7030A0"/>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7" w15:restartNumberingAfterBreak="0">
    <w:nsid w:val="45A75830"/>
    <w:multiLevelType w:val="multilevel"/>
    <w:tmpl w:val="7454167C"/>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E91698"/>
    <w:multiLevelType w:val="multilevel"/>
    <w:tmpl w:val="183A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B36081"/>
    <w:multiLevelType w:val="multilevel"/>
    <w:tmpl w:val="BACA5F98"/>
    <w:lvl w:ilvl="0">
      <w:start w:val="1"/>
      <w:numFmt w:val="decimal"/>
      <w:lvlText w:val="%1."/>
      <w:lvlJc w:val="left"/>
      <w:pPr>
        <w:tabs>
          <w:tab w:val="num" w:pos="720"/>
        </w:tabs>
        <w:ind w:left="720" w:hanging="360"/>
      </w:pPr>
      <w:rPr>
        <w:color w:val="7030A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EF13AD4"/>
    <w:multiLevelType w:val="multilevel"/>
    <w:tmpl w:val="31EEE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5D5AC8"/>
    <w:multiLevelType w:val="multilevel"/>
    <w:tmpl w:val="8D22B20A"/>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867AA6"/>
    <w:multiLevelType w:val="multilevel"/>
    <w:tmpl w:val="97E47396"/>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6A0123"/>
    <w:multiLevelType w:val="multilevel"/>
    <w:tmpl w:val="E9E47612"/>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6B4EE4"/>
    <w:multiLevelType w:val="multilevel"/>
    <w:tmpl w:val="73805DBA"/>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AC30DD"/>
    <w:multiLevelType w:val="multilevel"/>
    <w:tmpl w:val="D83274A6"/>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1C6C88"/>
    <w:multiLevelType w:val="multilevel"/>
    <w:tmpl w:val="E786B522"/>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B36B50"/>
    <w:multiLevelType w:val="multilevel"/>
    <w:tmpl w:val="379A9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4F6843"/>
    <w:multiLevelType w:val="multilevel"/>
    <w:tmpl w:val="2640AEC2"/>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6E3F4E"/>
    <w:multiLevelType w:val="multilevel"/>
    <w:tmpl w:val="8CB47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F322DE"/>
    <w:multiLevelType w:val="hybridMultilevel"/>
    <w:tmpl w:val="BEEA8FD0"/>
    <w:lvl w:ilvl="0" w:tplc="B1605774">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4316505">
    <w:abstractNumId w:val="4"/>
  </w:num>
  <w:num w:numId="2" w16cid:durableId="1660618629">
    <w:abstractNumId w:val="4"/>
  </w:num>
  <w:num w:numId="3" w16cid:durableId="2098473953">
    <w:abstractNumId w:val="3"/>
  </w:num>
  <w:num w:numId="4" w16cid:durableId="1681814905">
    <w:abstractNumId w:val="3"/>
  </w:num>
  <w:num w:numId="5" w16cid:durableId="1963344578">
    <w:abstractNumId w:val="2"/>
  </w:num>
  <w:num w:numId="6" w16cid:durableId="2112701901">
    <w:abstractNumId w:val="2"/>
  </w:num>
  <w:num w:numId="7" w16cid:durableId="1065228307">
    <w:abstractNumId w:val="1"/>
  </w:num>
  <w:num w:numId="8" w16cid:durableId="1907497571">
    <w:abstractNumId w:val="1"/>
  </w:num>
  <w:num w:numId="9" w16cid:durableId="1434327184">
    <w:abstractNumId w:val="0"/>
  </w:num>
  <w:num w:numId="10" w16cid:durableId="1707945589">
    <w:abstractNumId w:val="0"/>
  </w:num>
  <w:num w:numId="11" w16cid:durableId="1372144891">
    <w:abstractNumId w:val="4"/>
  </w:num>
  <w:num w:numId="12" w16cid:durableId="1756854921">
    <w:abstractNumId w:val="3"/>
  </w:num>
  <w:num w:numId="13" w16cid:durableId="175854886">
    <w:abstractNumId w:val="2"/>
  </w:num>
  <w:num w:numId="14" w16cid:durableId="1919246809">
    <w:abstractNumId w:val="1"/>
  </w:num>
  <w:num w:numId="15" w16cid:durableId="1415317907">
    <w:abstractNumId w:val="0"/>
  </w:num>
  <w:num w:numId="16" w16cid:durableId="852108021">
    <w:abstractNumId w:val="4"/>
  </w:num>
  <w:num w:numId="17" w16cid:durableId="432825832">
    <w:abstractNumId w:val="3"/>
  </w:num>
  <w:num w:numId="18" w16cid:durableId="1287547062">
    <w:abstractNumId w:val="2"/>
  </w:num>
  <w:num w:numId="19" w16cid:durableId="1122116714">
    <w:abstractNumId w:val="1"/>
  </w:num>
  <w:num w:numId="20" w16cid:durableId="647786006">
    <w:abstractNumId w:val="0"/>
  </w:num>
  <w:num w:numId="21" w16cid:durableId="1510214294">
    <w:abstractNumId w:val="6"/>
  </w:num>
  <w:num w:numId="22" w16cid:durableId="1549491939">
    <w:abstractNumId w:val="21"/>
  </w:num>
  <w:num w:numId="23" w16cid:durableId="1229263777">
    <w:abstractNumId w:val="18"/>
  </w:num>
  <w:num w:numId="24" w16cid:durableId="1743789822">
    <w:abstractNumId w:val="14"/>
  </w:num>
  <w:num w:numId="25" w16cid:durableId="1940142011">
    <w:abstractNumId w:val="12"/>
  </w:num>
  <w:num w:numId="26" w16cid:durableId="740979672">
    <w:abstractNumId w:val="20"/>
  </w:num>
  <w:num w:numId="27" w16cid:durableId="1879512973">
    <w:abstractNumId w:val="5"/>
  </w:num>
  <w:num w:numId="28" w16cid:durableId="523130014">
    <w:abstractNumId w:val="11"/>
  </w:num>
  <w:num w:numId="29" w16cid:durableId="2038385918">
    <w:abstractNumId w:val="29"/>
  </w:num>
  <w:num w:numId="30" w16cid:durableId="429665741">
    <w:abstractNumId w:val="17"/>
  </w:num>
  <w:num w:numId="31" w16cid:durableId="1806585751">
    <w:abstractNumId w:val="24"/>
  </w:num>
  <w:num w:numId="32" w16cid:durableId="629625742">
    <w:abstractNumId w:val="8"/>
  </w:num>
  <w:num w:numId="33" w16cid:durableId="1250188305">
    <w:abstractNumId w:val="13"/>
  </w:num>
  <w:num w:numId="34" w16cid:durableId="697127459">
    <w:abstractNumId w:val="22"/>
  </w:num>
  <w:num w:numId="35" w16cid:durableId="291517305">
    <w:abstractNumId w:val="19"/>
  </w:num>
  <w:num w:numId="36" w16cid:durableId="515003538">
    <w:abstractNumId w:val="23"/>
  </w:num>
  <w:num w:numId="37" w16cid:durableId="1790973772">
    <w:abstractNumId w:val="25"/>
  </w:num>
  <w:num w:numId="38" w16cid:durableId="339898032">
    <w:abstractNumId w:val="26"/>
  </w:num>
  <w:num w:numId="39" w16cid:durableId="2066565381">
    <w:abstractNumId w:val="10"/>
  </w:num>
  <w:num w:numId="40" w16cid:durableId="864100401">
    <w:abstractNumId w:val="7"/>
  </w:num>
  <w:num w:numId="41" w16cid:durableId="943927004">
    <w:abstractNumId w:val="15"/>
  </w:num>
  <w:num w:numId="42" w16cid:durableId="279187205">
    <w:abstractNumId w:val="28"/>
  </w:num>
  <w:num w:numId="43" w16cid:durableId="381487280">
    <w:abstractNumId w:val="30"/>
  </w:num>
  <w:num w:numId="44" w16cid:durableId="273640220">
    <w:abstractNumId w:val="9"/>
  </w:num>
  <w:num w:numId="45" w16cid:durableId="1948077474">
    <w:abstractNumId w:val="16"/>
  </w:num>
  <w:num w:numId="46" w16cid:durableId="14107350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defaultTabStop w:val="720"/>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764"/>
    <w:rsid w:val="00017559"/>
    <w:rsid w:val="000213D8"/>
    <w:rsid w:val="00057304"/>
    <w:rsid w:val="00086781"/>
    <w:rsid w:val="00093687"/>
    <w:rsid w:val="000A228B"/>
    <w:rsid w:val="000A34B2"/>
    <w:rsid w:val="000A5F31"/>
    <w:rsid w:val="000C4D26"/>
    <w:rsid w:val="000C5859"/>
    <w:rsid w:val="000D3605"/>
    <w:rsid w:val="000E0998"/>
    <w:rsid w:val="0011204C"/>
    <w:rsid w:val="0012294D"/>
    <w:rsid w:val="00142925"/>
    <w:rsid w:val="0016370C"/>
    <w:rsid w:val="001778E4"/>
    <w:rsid w:val="00185975"/>
    <w:rsid w:val="00185B19"/>
    <w:rsid w:val="001D44D7"/>
    <w:rsid w:val="001D766F"/>
    <w:rsid w:val="001F445D"/>
    <w:rsid w:val="002111AE"/>
    <w:rsid w:val="0021245F"/>
    <w:rsid w:val="00230A0D"/>
    <w:rsid w:val="00233B6F"/>
    <w:rsid w:val="0024267C"/>
    <w:rsid w:val="0024504B"/>
    <w:rsid w:val="00285338"/>
    <w:rsid w:val="00296922"/>
    <w:rsid w:val="002C00B3"/>
    <w:rsid w:val="002E61F8"/>
    <w:rsid w:val="002F4B60"/>
    <w:rsid w:val="00302890"/>
    <w:rsid w:val="00333F08"/>
    <w:rsid w:val="003518F2"/>
    <w:rsid w:val="003567B3"/>
    <w:rsid w:val="003603E1"/>
    <w:rsid w:val="003612EB"/>
    <w:rsid w:val="0036668A"/>
    <w:rsid w:val="003708A2"/>
    <w:rsid w:val="00382EC8"/>
    <w:rsid w:val="00385269"/>
    <w:rsid w:val="003B089F"/>
    <w:rsid w:val="003B6954"/>
    <w:rsid w:val="003C4763"/>
    <w:rsid w:val="003F5AAA"/>
    <w:rsid w:val="004204FF"/>
    <w:rsid w:val="004305ED"/>
    <w:rsid w:val="00466495"/>
    <w:rsid w:val="00484612"/>
    <w:rsid w:val="004A7ACA"/>
    <w:rsid w:val="004A7AE8"/>
    <w:rsid w:val="004B0AF1"/>
    <w:rsid w:val="004C0561"/>
    <w:rsid w:val="004C26D0"/>
    <w:rsid w:val="004C3D77"/>
    <w:rsid w:val="004D76D5"/>
    <w:rsid w:val="004E5328"/>
    <w:rsid w:val="004F4F49"/>
    <w:rsid w:val="005002B9"/>
    <w:rsid w:val="005153D2"/>
    <w:rsid w:val="00517E62"/>
    <w:rsid w:val="00535347"/>
    <w:rsid w:val="005D4786"/>
    <w:rsid w:val="005D5DC3"/>
    <w:rsid w:val="005F6A2D"/>
    <w:rsid w:val="00615DB8"/>
    <w:rsid w:val="00632A8D"/>
    <w:rsid w:val="006472C6"/>
    <w:rsid w:val="00654630"/>
    <w:rsid w:val="00656F6C"/>
    <w:rsid w:val="00671A0C"/>
    <w:rsid w:val="006C6E40"/>
    <w:rsid w:val="006F0BD5"/>
    <w:rsid w:val="007067C3"/>
    <w:rsid w:val="007961F7"/>
    <w:rsid w:val="00803E12"/>
    <w:rsid w:val="0083745A"/>
    <w:rsid w:val="008421C9"/>
    <w:rsid w:val="00852191"/>
    <w:rsid w:val="00893141"/>
    <w:rsid w:val="00895350"/>
    <w:rsid w:val="008A13C0"/>
    <w:rsid w:val="008B1998"/>
    <w:rsid w:val="008D254B"/>
    <w:rsid w:val="008F2D4C"/>
    <w:rsid w:val="00900A40"/>
    <w:rsid w:val="00922B46"/>
    <w:rsid w:val="00926A27"/>
    <w:rsid w:val="00967BFF"/>
    <w:rsid w:val="0099132A"/>
    <w:rsid w:val="009C4143"/>
    <w:rsid w:val="009D3FE9"/>
    <w:rsid w:val="00A02B25"/>
    <w:rsid w:val="00A05C8E"/>
    <w:rsid w:val="00A3679C"/>
    <w:rsid w:val="00A5142F"/>
    <w:rsid w:val="00A514BF"/>
    <w:rsid w:val="00A73B49"/>
    <w:rsid w:val="00A800FB"/>
    <w:rsid w:val="00A91EB3"/>
    <w:rsid w:val="00AA3FD8"/>
    <w:rsid w:val="00AB38DB"/>
    <w:rsid w:val="00AD2054"/>
    <w:rsid w:val="00AD30BC"/>
    <w:rsid w:val="00AD60AD"/>
    <w:rsid w:val="00B049F5"/>
    <w:rsid w:val="00B92191"/>
    <w:rsid w:val="00B92764"/>
    <w:rsid w:val="00B93FED"/>
    <w:rsid w:val="00BC25BA"/>
    <w:rsid w:val="00BF4FE5"/>
    <w:rsid w:val="00C04082"/>
    <w:rsid w:val="00C07C5D"/>
    <w:rsid w:val="00C1051F"/>
    <w:rsid w:val="00C23C05"/>
    <w:rsid w:val="00C74A1F"/>
    <w:rsid w:val="00CD4E2E"/>
    <w:rsid w:val="00CE3AAE"/>
    <w:rsid w:val="00CF112F"/>
    <w:rsid w:val="00CF170B"/>
    <w:rsid w:val="00D04BBC"/>
    <w:rsid w:val="00D169B8"/>
    <w:rsid w:val="00D26970"/>
    <w:rsid w:val="00D821B9"/>
    <w:rsid w:val="00D95320"/>
    <w:rsid w:val="00DA7D1A"/>
    <w:rsid w:val="00DC1E88"/>
    <w:rsid w:val="00DF7E99"/>
    <w:rsid w:val="00E00639"/>
    <w:rsid w:val="00E13C86"/>
    <w:rsid w:val="00E30036"/>
    <w:rsid w:val="00E95720"/>
    <w:rsid w:val="00EA5CE3"/>
    <w:rsid w:val="00EB1F80"/>
    <w:rsid w:val="00EC6965"/>
    <w:rsid w:val="00F009A1"/>
    <w:rsid w:val="00F06802"/>
    <w:rsid w:val="00F11003"/>
    <w:rsid w:val="00F178D4"/>
    <w:rsid w:val="00F307D1"/>
    <w:rsid w:val="00F37CB5"/>
    <w:rsid w:val="00F5522F"/>
    <w:rsid w:val="00F626D6"/>
    <w:rsid w:val="00F77E1B"/>
    <w:rsid w:val="00F925C9"/>
    <w:rsid w:val="00F961FE"/>
    <w:rsid w:val="00FB29E4"/>
    <w:rsid w:val="00FD4BC3"/>
    <w:rsid w:val="00FD5064"/>
    <w:rsid w:val="00FD6DB2"/>
    <w:rsid w:val="00FD774B"/>
    <w:rsid w:val="00FF3CBA"/>
    <w:rsid w:val="00FF7C13"/>
  </w:rsids>
  <m:mathPr>
    <m:mathFont m:val="Cambria Math"/>
    <m:brkBin m:val="before"/>
    <m:brkBinSub m:val="--"/>
    <m:smallFrac m:val="0"/>
    <m:dispDef/>
    <m:lMargin m:val="0"/>
    <m:rMargin m:val="0"/>
    <m:defJc m:val="centerGroup"/>
    <m:wrapIndent m:val="1440"/>
    <m:intLim m:val="undOvr"/>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555B42"/>
  <w15:docId w15:val="{EC6D29AF-39BE-46EE-A246-57BABA2E1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themeColor="text1"/>
      <w:sz w:val="20"/>
      <w:szCs w:val="20"/>
      <w:lang w:eastAsia="ja-JP"/>
    </w:rPr>
  </w:style>
  <w:style w:type="paragraph" w:styleId="Heading1">
    <w:name w:val="heading 1"/>
    <w:basedOn w:val="Normal"/>
    <w:next w:val="Normal"/>
    <w:link w:val="Heading1Char"/>
    <w:uiPriority w:val="9"/>
    <w:qFormat/>
    <w:pPr>
      <w:pBdr>
        <w:top w:val="single" w:sz="6" w:space="1" w:color="9FB8CD" w:themeColor="accent2"/>
        <w:left w:val="single" w:sz="6" w:space="1" w:color="9FB8CD" w:themeColor="accent2"/>
        <w:bottom w:val="single" w:sz="6" w:space="1" w:color="9FB8CD" w:themeColor="accent2"/>
        <w:right w:val="single" w:sz="6" w:space="1" w:color="9FB8CD" w:themeColor="accent2"/>
      </w:pBdr>
      <w:shd w:val="clear" w:color="auto" w:fill="9FB8CD" w:themeFill="accent2"/>
      <w:spacing w:before="300" w:after="40"/>
      <w:outlineLvl w:val="0"/>
    </w:pPr>
    <w:rPr>
      <w:rFonts w:asciiTheme="majorHAnsi" w:hAnsiTheme="majorHAnsi"/>
      <w:color w:val="FFFFFF" w:themeColor="background1"/>
      <w:spacing w:val="5"/>
      <w:szCs w:val="32"/>
    </w:rPr>
  </w:style>
  <w:style w:type="paragraph" w:styleId="Heading2">
    <w:name w:val="heading 2"/>
    <w:basedOn w:val="Normal"/>
    <w:next w:val="Normal"/>
    <w:link w:val="Heading2Char"/>
    <w:uiPriority w:val="9"/>
    <w:qFormat/>
    <w:rsid w:val="00517E62"/>
    <w:pPr>
      <w:pBdr>
        <w:top w:val="single" w:sz="6" w:space="1" w:color="9FB8CD" w:themeColor="accent2"/>
        <w:left w:val="single" w:sz="48" w:space="1" w:color="9FB8CD" w:themeColor="accent2"/>
        <w:bottom w:val="single" w:sz="6" w:space="1" w:color="9FB8CD" w:themeColor="accent2"/>
        <w:right w:val="single" w:sz="6" w:space="1" w:color="9FB8CD" w:themeColor="accent2"/>
      </w:pBdr>
      <w:spacing w:before="240" w:after="80"/>
      <w:ind w:left="144"/>
      <w:outlineLvl w:val="1"/>
    </w:pPr>
    <w:rPr>
      <w:rFonts w:asciiTheme="majorHAnsi" w:hAnsiTheme="majorHAnsi"/>
      <w:color w:val="7030A0"/>
      <w:spacing w:val="5"/>
      <w:szCs w:val="28"/>
    </w:rPr>
  </w:style>
  <w:style w:type="paragraph" w:styleId="Heading3">
    <w:name w:val="heading 3"/>
    <w:basedOn w:val="Normal"/>
    <w:next w:val="Normal"/>
    <w:link w:val="Heading3Char"/>
    <w:uiPriority w:val="9"/>
    <w:unhideWhenUsed/>
    <w:qFormat/>
    <w:pPr>
      <w:pBdr>
        <w:top w:val="single" w:sz="6" w:space="1" w:color="A6A6A6" w:themeColor="background1" w:themeShade="A6"/>
        <w:left w:val="single" w:sz="48" w:space="1" w:color="A6A6A6" w:themeColor="background1" w:themeShade="A6"/>
        <w:bottom w:val="single" w:sz="6" w:space="1" w:color="A6A6A6" w:themeColor="background1" w:themeShade="A6"/>
        <w:right w:val="single" w:sz="6" w:space="1" w:color="A6A6A6" w:themeColor="background1" w:themeShade="A6"/>
      </w:pBdr>
      <w:spacing w:before="200" w:after="80"/>
      <w:ind w:left="144"/>
      <w:outlineLvl w:val="2"/>
    </w:pPr>
    <w:rPr>
      <w:rFonts w:asciiTheme="majorHAnsi" w:hAnsiTheme="majorHAnsi"/>
      <w:color w:val="595959" w:themeColor="text1" w:themeTint="A6"/>
      <w:spacing w:val="5"/>
      <w:szCs w:val="24"/>
    </w:rPr>
  </w:style>
  <w:style w:type="paragraph" w:styleId="Heading4">
    <w:name w:val="heading 4"/>
    <w:basedOn w:val="Normal"/>
    <w:next w:val="Normal"/>
    <w:link w:val="Heading4Char"/>
    <w:uiPriority w:val="9"/>
    <w:unhideWhenUsed/>
    <w:qFormat/>
    <w:pPr>
      <w:pBdr>
        <w:bottom w:val="single" w:sz="6" w:space="1" w:color="A6A6A6" w:themeColor="background1" w:themeShade="A6"/>
      </w:pBdr>
      <w:spacing w:before="200" w:after="80"/>
      <w:outlineLvl w:val="3"/>
    </w:pPr>
    <w:rPr>
      <w:rFonts w:asciiTheme="majorHAnsi" w:hAnsiTheme="majorHAnsi"/>
      <w:color w:val="595959" w:themeColor="text1" w:themeTint="A6"/>
      <w:szCs w:val="22"/>
    </w:rPr>
  </w:style>
  <w:style w:type="paragraph" w:styleId="Heading5">
    <w:name w:val="heading 5"/>
    <w:basedOn w:val="Normal"/>
    <w:next w:val="Normal"/>
    <w:link w:val="Heading5Char"/>
    <w:uiPriority w:val="9"/>
    <w:semiHidden/>
    <w:unhideWhenUsed/>
    <w:qFormat/>
    <w:pPr>
      <w:pBdr>
        <w:bottom w:val="dashed" w:sz="4" w:space="1" w:color="A6A6A6" w:themeColor="background1" w:themeShade="A6"/>
      </w:pBdr>
      <w:spacing w:before="200" w:after="80"/>
      <w:outlineLvl w:val="4"/>
    </w:pPr>
    <w:rPr>
      <w:rFonts w:asciiTheme="majorHAnsi" w:hAnsiTheme="majorHAnsi"/>
      <w:color w:val="404040" w:themeColor="text1" w:themeTint="BF"/>
      <w:szCs w:val="26"/>
    </w:rPr>
  </w:style>
  <w:style w:type="paragraph" w:styleId="Heading6">
    <w:name w:val="heading 6"/>
    <w:basedOn w:val="Normal"/>
    <w:next w:val="Normal"/>
    <w:link w:val="Heading6Char"/>
    <w:uiPriority w:val="9"/>
    <w:semiHidden/>
    <w:unhideWhenUsed/>
    <w:qFormat/>
    <w:pPr>
      <w:spacing w:before="200" w:after="80"/>
      <w:outlineLvl w:val="5"/>
    </w:pPr>
    <w:rPr>
      <w:rFonts w:asciiTheme="majorHAnsi" w:hAnsiTheme="majorHAnsi"/>
      <w:b/>
      <w:color w:val="7F7F7F" w:themeColor="background1" w:themeShade="7F"/>
      <w:sz w:val="18"/>
    </w:rPr>
  </w:style>
  <w:style w:type="paragraph" w:styleId="Heading7">
    <w:name w:val="heading 7"/>
    <w:basedOn w:val="Normal"/>
    <w:next w:val="Normal"/>
    <w:link w:val="Heading7Char"/>
    <w:uiPriority w:val="9"/>
    <w:semiHidden/>
    <w:unhideWhenUsed/>
    <w:qFormat/>
    <w:pPr>
      <w:spacing w:before="200" w:after="80"/>
      <w:outlineLvl w:val="6"/>
    </w:pPr>
    <w:rPr>
      <w:rFonts w:asciiTheme="majorHAnsi" w:hAnsiTheme="majorHAnsi"/>
      <w:b/>
      <w:i/>
      <w:color w:val="808080" w:themeColor="background1" w:themeShade="80"/>
      <w:sz w:val="18"/>
    </w:rPr>
  </w:style>
  <w:style w:type="paragraph" w:styleId="Heading8">
    <w:name w:val="heading 8"/>
    <w:basedOn w:val="Normal"/>
    <w:next w:val="Normal"/>
    <w:link w:val="Heading8Char"/>
    <w:uiPriority w:val="9"/>
    <w:semiHidden/>
    <w:unhideWhenUsed/>
    <w:qFormat/>
    <w:pPr>
      <w:spacing w:before="200" w:after="80"/>
      <w:outlineLvl w:val="7"/>
    </w:pPr>
    <w:rPr>
      <w:rFonts w:asciiTheme="majorHAnsi" w:hAnsiTheme="majorHAnsi"/>
      <w:color w:val="9FB8CD" w:themeColor="accent2"/>
      <w:sz w:val="18"/>
    </w:rPr>
  </w:style>
  <w:style w:type="paragraph" w:styleId="Heading9">
    <w:name w:val="heading 9"/>
    <w:basedOn w:val="Normal"/>
    <w:next w:val="Normal"/>
    <w:link w:val="Heading9Char"/>
    <w:uiPriority w:val="9"/>
    <w:semiHidden/>
    <w:unhideWhenUsed/>
    <w:qFormat/>
    <w:pPr>
      <w:spacing w:before="200" w:after="80"/>
      <w:outlineLvl w:val="8"/>
    </w:pPr>
    <w:rPr>
      <w:rFonts w:asciiTheme="majorHAnsi" w:hAnsiTheme="majorHAnsi"/>
      <w:i/>
      <w:color w:val="9FB8CD" w:themeColor="accent2"/>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olor w:val="FFFFFF" w:themeColor="background1"/>
      <w:spacing w:val="5"/>
      <w:sz w:val="20"/>
      <w:szCs w:val="32"/>
      <w:shd w:val="clear" w:color="auto" w:fill="9FB8CD" w:themeFill="accent2"/>
      <w:lang w:eastAsia="ja-JP"/>
    </w:rPr>
  </w:style>
  <w:style w:type="character" w:customStyle="1" w:styleId="Heading2Char">
    <w:name w:val="Heading 2 Char"/>
    <w:basedOn w:val="DefaultParagraphFont"/>
    <w:link w:val="Heading2"/>
    <w:uiPriority w:val="9"/>
    <w:rsid w:val="00517E62"/>
    <w:rPr>
      <w:rFonts w:asciiTheme="majorHAnsi" w:hAnsiTheme="majorHAnsi"/>
      <w:color w:val="7030A0"/>
      <w:spacing w:val="5"/>
      <w:sz w:val="20"/>
      <w:szCs w:val="28"/>
      <w:lang w:eastAsia="ja-JP"/>
    </w:rPr>
  </w:style>
  <w:style w:type="character" w:customStyle="1" w:styleId="Heading3Char">
    <w:name w:val="Heading 3 Char"/>
    <w:basedOn w:val="DefaultParagraphFont"/>
    <w:link w:val="Heading3"/>
    <w:uiPriority w:val="9"/>
    <w:rPr>
      <w:rFonts w:asciiTheme="majorHAnsi" w:hAnsiTheme="majorHAnsi"/>
      <w:color w:val="595959" w:themeColor="text1" w:themeTint="A6"/>
      <w:spacing w:val="5"/>
      <w:sz w:val="20"/>
      <w:szCs w:val="24"/>
      <w:lang w:eastAsia="ja-JP"/>
    </w:rPr>
  </w:style>
  <w:style w:type="paragraph" w:styleId="Title">
    <w:name w:val="Title"/>
    <w:basedOn w:val="Normal"/>
    <w:link w:val="TitleChar"/>
    <w:uiPriority w:val="10"/>
    <w:qFormat/>
    <w:pPr>
      <w:spacing w:line="240" w:lineRule="auto"/>
    </w:pPr>
    <w:rPr>
      <w:rFonts w:asciiTheme="majorHAnsi" w:hAnsiTheme="majorHAnsi"/>
      <w:color w:val="9FB8CD" w:themeColor="accent2"/>
      <w:sz w:val="52"/>
      <w:szCs w:val="48"/>
    </w:rPr>
  </w:style>
  <w:style w:type="character" w:customStyle="1" w:styleId="TitleChar">
    <w:name w:val="Title Char"/>
    <w:basedOn w:val="DefaultParagraphFont"/>
    <w:link w:val="Title"/>
    <w:uiPriority w:val="10"/>
    <w:rPr>
      <w:rFonts w:asciiTheme="majorHAnsi" w:hAnsiTheme="majorHAnsi"/>
      <w:color w:val="9FB8CD" w:themeColor="accent2"/>
      <w:sz w:val="52"/>
      <w:szCs w:val="48"/>
      <w:lang w:eastAsia="ja-JP"/>
    </w:rPr>
  </w:style>
  <w:style w:type="paragraph" w:styleId="Subtitle">
    <w:name w:val="Subtitle"/>
    <w:basedOn w:val="Normal"/>
    <w:link w:val="SubtitleChar"/>
    <w:uiPriority w:val="11"/>
    <w:qFormat/>
    <w:pPr>
      <w:spacing w:after="720" w:line="240" w:lineRule="auto"/>
    </w:pPr>
    <w:rPr>
      <w:rFonts w:asciiTheme="majorHAnsi" w:hAnsiTheme="majorHAnsi" w:cstheme="minorHAnsi"/>
      <w:color w:val="9FB8CD" w:themeColor="accent2"/>
      <w:sz w:val="24"/>
      <w:szCs w:val="24"/>
    </w:rPr>
  </w:style>
  <w:style w:type="character" w:customStyle="1" w:styleId="SubtitleChar">
    <w:name w:val="Subtitle Char"/>
    <w:basedOn w:val="DefaultParagraphFont"/>
    <w:link w:val="Subtitle"/>
    <w:uiPriority w:val="11"/>
    <w:rPr>
      <w:rFonts w:asciiTheme="majorHAnsi" w:hAnsiTheme="majorHAnsi" w:cstheme="minorHAnsi"/>
      <w:color w:val="9FB8CD" w:themeColor="accent2"/>
      <w:sz w:val="24"/>
      <w:szCs w:val="24"/>
      <w:lang w:eastAsia="ja-JP"/>
    </w:rPr>
  </w:style>
  <w:style w:type="paragraph" w:styleId="Caption">
    <w:name w:val="caption"/>
    <w:basedOn w:val="Normal"/>
    <w:next w:val="Normal"/>
    <w:uiPriority w:val="35"/>
    <w:unhideWhenUsed/>
    <w:pPr>
      <w:spacing w:after="0" w:line="240" w:lineRule="auto"/>
    </w:pPr>
    <w:rPr>
      <w:bCs/>
      <w:color w:val="9FB8CD" w:themeColor="accent2"/>
      <w:sz w:val="16"/>
      <w:szCs w:val="18"/>
    </w:rPr>
  </w:style>
  <w:style w:type="paragraph" w:styleId="NoSpacing">
    <w:name w:val="No Spacing"/>
    <w:basedOn w:val="Normal"/>
    <w:uiPriority w:val="99"/>
    <w:qFormat/>
    <w:pPr>
      <w:spacing w:after="0" w:line="240" w:lineRule="auto"/>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000000" w:themeColor="text1"/>
      <w:sz w:val="16"/>
      <w:szCs w:val="16"/>
      <w:lang w:eastAsia="ja-JP"/>
    </w:rPr>
  </w:style>
  <w:style w:type="character" w:styleId="BookTitle">
    <w:name w:val="Book Title"/>
    <w:basedOn w:val="DefaultParagraphFont"/>
    <w:uiPriority w:val="33"/>
    <w:qFormat/>
    <w:rPr>
      <w:rFonts w:asciiTheme="majorHAnsi" w:hAnsiTheme="majorHAnsi" w:cs="Times New Roman"/>
      <w:i/>
      <w:color w:val="8E736A" w:themeColor="accent6"/>
      <w:sz w:val="20"/>
      <w:szCs w:val="20"/>
    </w:rPr>
  </w:style>
  <w:style w:type="character" w:styleId="Emphasis">
    <w:name w:val="Emphasis"/>
    <w:uiPriority w:val="20"/>
    <w:qFormat/>
    <w:rPr>
      <w:b/>
      <w:i/>
      <w:spacing w:val="0"/>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color w:val="000000" w:themeColor="text1"/>
      <w:sz w:val="20"/>
      <w:szCs w:val="20"/>
      <w:lang w:eastAsia="ja-JP"/>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color w:val="000000" w:themeColor="text1"/>
      <w:sz w:val="20"/>
      <w:szCs w:val="20"/>
      <w:lang w:eastAsia="ja-JP"/>
    </w:rPr>
  </w:style>
  <w:style w:type="character" w:customStyle="1" w:styleId="Heading4Char">
    <w:name w:val="Heading 4 Char"/>
    <w:basedOn w:val="DefaultParagraphFont"/>
    <w:link w:val="Heading4"/>
    <w:uiPriority w:val="9"/>
    <w:rPr>
      <w:rFonts w:asciiTheme="majorHAnsi" w:hAnsiTheme="majorHAnsi"/>
      <w:color w:val="595959" w:themeColor="text1" w:themeTint="A6"/>
      <w:sz w:val="20"/>
      <w:lang w:eastAsia="ja-JP"/>
    </w:rPr>
  </w:style>
  <w:style w:type="character" w:customStyle="1" w:styleId="Heading5Char">
    <w:name w:val="Heading 5 Char"/>
    <w:basedOn w:val="DefaultParagraphFont"/>
    <w:link w:val="Heading5"/>
    <w:uiPriority w:val="9"/>
    <w:semiHidden/>
    <w:rPr>
      <w:rFonts w:asciiTheme="majorHAnsi" w:hAnsiTheme="majorHAnsi"/>
      <w:color w:val="404040" w:themeColor="text1" w:themeTint="BF"/>
      <w:sz w:val="20"/>
      <w:szCs w:val="26"/>
      <w:lang w:eastAsia="ja-JP"/>
    </w:rPr>
  </w:style>
  <w:style w:type="character" w:customStyle="1" w:styleId="Heading6Char">
    <w:name w:val="Heading 6 Char"/>
    <w:basedOn w:val="DefaultParagraphFont"/>
    <w:link w:val="Heading6"/>
    <w:uiPriority w:val="9"/>
    <w:semiHidden/>
    <w:rPr>
      <w:rFonts w:asciiTheme="majorHAnsi" w:hAnsiTheme="majorHAnsi"/>
      <w:b/>
      <w:color w:val="7F7F7F" w:themeColor="background1" w:themeShade="7F"/>
      <w:sz w:val="18"/>
      <w:szCs w:val="20"/>
      <w:lang w:eastAsia="ja-JP"/>
    </w:rPr>
  </w:style>
  <w:style w:type="character" w:customStyle="1" w:styleId="Heading7Char">
    <w:name w:val="Heading 7 Char"/>
    <w:basedOn w:val="DefaultParagraphFont"/>
    <w:link w:val="Heading7"/>
    <w:uiPriority w:val="9"/>
    <w:semiHidden/>
    <w:rPr>
      <w:rFonts w:asciiTheme="majorHAnsi" w:hAnsiTheme="majorHAnsi"/>
      <w:b/>
      <w:i/>
      <w:color w:val="808080" w:themeColor="background1" w:themeShade="80"/>
      <w:sz w:val="18"/>
      <w:szCs w:val="20"/>
      <w:lang w:eastAsia="ja-JP"/>
    </w:rPr>
  </w:style>
  <w:style w:type="character" w:customStyle="1" w:styleId="Heading8Char">
    <w:name w:val="Heading 8 Char"/>
    <w:basedOn w:val="DefaultParagraphFont"/>
    <w:link w:val="Heading8"/>
    <w:uiPriority w:val="9"/>
    <w:semiHidden/>
    <w:rPr>
      <w:rFonts w:asciiTheme="majorHAnsi" w:hAnsiTheme="majorHAnsi"/>
      <w:color w:val="9FB8CD" w:themeColor="accent2"/>
      <w:sz w:val="18"/>
      <w:szCs w:val="20"/>
      <w:lang w:eastAsia="ja-JP"/>
    </w:rPr>
  </w:style>
  <w:style w:type="character" w:customStyle="1" w:styleId="Heading9Char">
    <w:name w:val="Heading 9 Char"/>
    <w:basedOn w:val="DefaultParagraphFont"/>
    <w:link w:val="Heading9"/>
    <w:uiPriority w:val="9"/>
    <w:semiHidden/>
    <w:rPr>
      <w:rFonts w:asciiTheme="majorHAnsi" w:hAnsiTheme="majorHAnsi"/>
      <w:i/>
      <w:color w:val="9FB8CD" w:themeColor="accent2"/>
      <w:sz w:val="18"/>
      <w:szCs w:val="20"/>
      <w:lang w:eastAsia="ja-JP"/>
    </w:rPr>
  </w:style>
  <w:style w:type="character" w:styleId="IntenseEmphasis">
    <w:name w:val="Intense Emphasis"/>
    <w:basedOn w:val="DefaultParagraphFont"/>
    <w:uiPriority w:val="21"/>
    <w:qFormat/>
    <w:rPr>
      <w:rFonts w:cs="Times New Roman"/>
      <w:b/>
      <w:i/>
      <w:color w:val="BAC737" w:themeColor="accent3" w:themeShade="BF"/>
      <w:sz w:val="20"/>
      <w:szCs w:val="20"/>
    </w:rPr>
  </w:style>
  <w:style w:type="paragraph" w:styleId="IntenseQuote">
    <w:name w:val="Intense Quote"/>
    <w:basedOn w:val="Normal"/>
    <w:link w:val="IntenseQuoteChar"/>
    <w:uiPriority w:val="30"/>
    <w:qFormat/>
    <w:pPr>
      <w:pBdr>
        <w:top w:val="single" w:sz="6" w:space="10" w:color="628BAD" w:themeColor="accent2" w:themeShade="BF"/>
        <w:left w:val="single" w:sz="6" w:space="10" w:color="628BAD" w:themeColor="accent2" w:themeShade="BF"/>
        <w:bottom w:val="single" w:sz="6" w:space="10" w:color="628BAD" w:themeColor="accent2" w:themeShade="BF"/>
        <w:right w:val="single" w:sz="6" w:space="10" w:color="628BAD" w:themeColor="accent2" w:themeShade="BF"/>
      </w:pBdr>
      <w:shd w:val="clear" w:color="auto" w:fill="9FB8CD" w:themeFill="accent2"/>
      <w:ind w:left="720" w:right="720"/>
      <w:jc w:val="center"/>
    </w:pPr>
    <w:rPr>
      <w:rFonts w:asciiTheme="majorHAnsi" w:hAnsiTheme="majorHAnsi"/>
      <w:i/>
      <w:color w:val="FFFFFF" w:themeColor="background1"/>
    </w:rPr>
  </w:style>
  <w:style w:type="character" w:customStyle="1" w:styleId="IntenseQuoteChar">
    <w:name w:val="Intense Quote Char"/>
    <w:basedOn w:val="DefaultParagraphFont"/>
    <w:link w:val="IntenseQuote"/>
    <w:uiPriority w:val="30"/>
    <w:rPr>
      <w:rFonts w:asciiTheme="majorHAnsi" w:hAnsiTheme="majorHAnsi"/>
      <w:i/>
      <w:color w:val="FFFFFF" w:themeColor="background1"/>
      <w:sz w:val="20"/>
      <w:szCs w:val="20"/>
      <w:shd w:val="clear" w:color="auto" w:fill="9FB8CD" w:themeFill="accent2"/>
      <w:lang w:eastAsia="ja-JP"/>
    </w:rPr>
  </w:style>
  <w:style w:type="character" w:styleId="IntenseReference">
    <w:name w:val="Intense Reference"/>
    <w:basedOn w:val="DefaultParagraphFont"/>
    <w:uiPriority w:val="32"/>
    <w:qFormat/>
    <w:rPr>
      <w:rFonts w:cs="Times New Roman"/>
      <w:b/>
      <w:color w:val="525A7D" w:themeColor="accent1" w:themeShade="BF"/>
      <w:sz w:val="20"/>
      <w:szCs w:val="20"/>
      <w:u w:val="single"/>
    </w:rPr>
  </w:style>
  <w:style w:type="paragraph" w:styleId="ListBullet">
    <w:name w:val="List Bullet"/>
    <w:basedOn w:val="Normal"/>
    <w:uiPriority w:val="36"/>
    <w:unhideWhenUsed/>
    <w:qFormat/>
    <w:pPr>
      <w:numPr>
        <w:numId w:val="16"/>
      </w:numPr>
      <w:spacing w:after="120"/>
      <w:contextualSpacing/>
    </w:pPr>
  </w:style>
  <w:style w:type="paragraph" w:styleId="ListBullet2">
    <w:name w:val="List Bullet 2"/>
    <w:basedOn w:val="Normal"/>
    <w:uiPriority w:val="36"/>
    <w:unhideWhenUsed/>
    <w:qFormat/>
    <w:pPr>
      <w:numPr>
        <w:numId w:val="17"/>
      </w:numPr>
      <w:spacing w:after="120"/>
      <w:contextualSpacing/>
    </w:pPr>
  </w:style>
  <w:style w:type="paragraph" w:styleId="ListBullet3">
    <w:name w:val="List Bullet 3"/>
    <w:basedOn w:val="Normal"/>
    <w:uiPriority w:val="36"/>
    <w:unhideWhenUsed/>
    <w:qFormat/>
    <w:pPr>
      <w:numPr>
        <w:numId w:val="18"/>
      </w:numPr>
      <w:spacing w:after="120"/>
      <w:contextualSpacing/>
    </w:pPr>
  </w:style>
  <w:style w:type="paragraph" w:styleId="ListBullet4">
    <w:name w:val="List Bullet 4"/>
    <w:basedOn w:val="Normal"/>
    <w:uiPriority w:val="36"/>
    <w:unhideWhenUsed/>
    <w:qFormat/>
    <w:pPr>
      <w:numPr>
        <w:numId w:val="19"/>
      </w:numPr>
      <w:spacing w:after="120"/>
      <w:contextualSpacing/>
    </w:pPr>
  </w:style>
  <w:style w:type="paragraph" w:styleId="ListBullet5">
    <w:name w:val="List Bullet 5"/>
    <w:basedOn w:val="Normal"/>
    <w:uiPriority w:val="36"/>
    <w:unhideWhenUsed/>
    <w:qFormat/>
    <w:pPr>
      <w:numPr>
        <w:numId w:val="20"/>
      </w:numPr>
      <w:spacing w:after="120"/>
      <w:contextualSpacing/>
    </w:pPr>
  </w:style>
  <w:style w:type="character" w:styleId="PlaceholderText">
    <w:name w:val="Placeholder Text"/>
    <w:basedOn w:val="DefaultParagraphFont"/>
    <w:uiPriority w:val="99"/>
    <w:semiHidden/>
    <w:rPr>
      <w:color w:val="808080"/>
    </w:rPr>
  </w:style>
  <w:style w:type="paragraph" w:styleId="Quote">
    <w:name w:val="Quote"/>
    <w:basedOn w:val="Normal"/>
    <w:link w:val="QuoteChar"/>
    <w:uiPriority w:val="29"/>
    <w:qFormat/>
    <w:rPr>
      <w:i/>
      <w:color w:val="7F7F7F" w:themeColor="background1" w:themeShade="7F"/>
    </w:rPr>
  </w:style>
  <w:style w:type="character" w:customStyle="1" w:styleId="QuoteChar">
    <w:name w:val="Quote Char"/>
    <w:basedOn w:val="DefaultParagraphFont"/>
    <w:link w:val="Quote"/>
    <w:uiPriority w:val="29"/>
    <w:rPr>
      <w:i/>
      <w:color w:val="7F7F7F" w:themeColor="background1" w:themeShade="7F"/>
      <w:sz w:val="20"/>
      <w:szCs w:val="20"/>
      <w:lang w:eastAsia="ja-JP"/>
    </w:rPr>
  </w:style>
  <w:style w:type="character" w:styleId="Strong">
    <w:name w:val="Strong"/>
    <w:uiPriority w:val="22"/>
    <w:qFormat/>
    <w:rPr>
      <w:rFonts w:asciiTheme="minorHAnsi" w:hAnsiTheme="minorHAnsi"/>
      <w:b/>
      <w:color w:val="9FB8CD" w:themeColor="accent2"/>
    </w:rPr>
  </w:style>
  <w:style w:type="character" w:styleId="SubtleEmphasis">
    <w:name w:val="Subtle Emphasis"/>
    <w:basedOn w:val="DefaultParagraphFont"/>
    <w:uiPriority w:val="19"/>
    <w:qFormat/>
    <w:rPr>
      <w:rFonts w:cs="Times New Roman"/>
      <w:i/>
      <w:color w:val="737373" w:themeColor="text1" w:themeTint="8C"/>
      <w:kern w:val="16"/>
      <w:sz w:val="20"/>
      <w:szCs w:val="24"/>
    </w:rPr>
  </w:style>
  <w:style w:type="character" w:styleId="SubtleReference">
    <w:name w:val="Subtle Reference"/>
    <w:basedOn w:val="DefaultParagraphFont"/>
    <w:uiPriority w:val="31"/>
    <w:qFormat/>
    <w:rPr>
      <w:rFonts w:cs="Times New Roman"/>
      <w:color w:val="737373" w:themeColor="text1" w:themeTint="8C"/>
      <w:sz w:val="20"/>
      <w:szCs w:val="20"/>
      <w:u w:val="single"/>
    </w:rPr>
  </w:style>
  <w:style w:type="table" w:styleId="TableGrid">
    <w:name w:val="Table Grid"/>
    <w:basedOn w:val="TableNormal"/>
    <w:uiPriority w:val="1"/>
    <w:pPr>
      <w:spacing w:after="0" w:line="240" w:lineRule="auto"/>
    </w:pPr>
    <w:rPr>
      <w:rFonts w:cs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99"/>
    <w:semiHidden/>
    <w:unhideWhenUsed/>
    <w:qFormat/>
    <w:pPr>
      <w:tabs>
        <w:tab w:val="right" w:leader="dot" w:pos="8630"/>
      </w:tabs>
      <w:spacing w:after="40" w:line="240" w:lineRule="auto"/>
    </w:pPr>
    <w:rPr>
      <w:smallCaps/>
      <w:noProof/>
      <w:color w:val="9FB8CD" w:themeColor="accent2"/>
    </w:rPr>
  </w:style>
  <w:style w:type="paragraph" w:styleId="TOC2">
    <w:name w:val="toc 2"/>
    <w:basedOn w:val="Normal"/>
    <w:next w:val="Normal"/>
    <w:autoRedefine/>
    <w:uiPriority w:val="99"/>
    <w:semiHidden/>
    <w:unhideWhenUsed/>
    <w:qFormat/>
    <w:pPr>
      <w:tabs>
        <w:tab w:val="right" w:leader="dot" w:pos="8630"/>
      </w:tabs>
      <w:spacing w:after="40" w:line="240" w:lineRule="auto"/>
      <w:ind w:left="216"/>
    </w:pPr>
    <w:rPr>
      <w:smallCaps/>
      <w:noProof/>
    </w:rPr>
  </w:style>
  <w:style w:type="paragraph" w:styleId="TOC3">
    <w:name w:val="toc 3"/>
    <w:basedOn w:val="Normal"/>
    <w:next w:val="Normal"/>
    <w:autoRedefine/>
    <w:uiPriority w:val="99"/>
    <w:semiHidden/>
    <w:unhideWhenUsed/>
    <w:qFormat/>
    <w:pPr>
      <w:tabs>
        <w:tab w:val="right" w:leader="dot" w:pos="8630"/>
      </w:tabs>
      <w:spacing w:after="40" w:line="240" w:lineRule="auto"/>
      <w:ind w:left="446"/>
    </w:pPr>
    <w:rPr>
      <w:smallCaps/>
      <w:noProof/>
    </w:rPr>
  </w:style>
  <w:style w:type="paragraph" w:styleId="TOC4">
    <w:name w:val="toc 4"/>
    <w:basedOn w:val="Normal"/>
    <w:next w:val="Normal"/>
    <w:autoRedefine/>
    <w:uiPriority w:val="99"/>
    <w:semiHidden/>
    <w:unhideWhenUsed/>
    <w:qFormat/>
    <w:pPr>
      <w:tabs>
        <w:tab w:val="right" w:leader="dot" w:pos="8630"/>
      </w:tabs>
      <w:spacing w:after="40" w:line="240" w:lineRule="auto"/>
      <w:ind w:left="662"/>
    </w:pPr>
    <w:rPr>
      <w:smallCaps/>
      <w:noProof/>
    </w:rPr>
  </w:style>
  <w:style w:type="paragraph" w:styleId="TOC5">
    <w:name w:val="toc 5"/>
    <w:basedOn w:val="Normal"/>
    <w:next w:val="Normal"/>
    <w:autoRedefine/>
    <w:uiPriority w:val="99"/>
    <w:semiHidden/>
    <w:unhideWhenUsed/>
    <w:qFormat/>
    <w:pPr>
      <w:tabs>
        <w:tab w:val="right" w:leader="dot" w:pos="8630"/>
      </w:tabs>
      <w:spacing w:after="40" w:line="240" w:lineRule="auto"/>
      <w:ind w:left="878"/>
    </w:pPr>
    <w:rPr>
      <w:smallCaps/>
      <w:noProof/>
    </w:rPr>
  </w:style>
  <w:style w:type="paragraph" w:styleId="TOC6">
    <w:name w:val="toc 6"/>
    <w:basedOn w:val="Normal"/>
    <w:next w:val="Normal"/>
    <w:autoRedefine/>
    <w:uiPriority w:val="99"/>
    <w:semiHidden/>
    <w:unhideWhenUsed/>
    <w:qFormat/>
    <w:pPr>
      <w:tabs>
        <w:tab w:val="right" w:leader="dot" w:pos="8630"/>
      </w:tabs>
      <w:spacing w:after="40" w:line="240" w:lineRule="auto"/>
      <w:ind w:left="1094"/>
    </w:pPr>
    <w:rPr>
      <w:smallCaps/>
      <w:noProof/>
    </w:rPr>
  </w:style>
  <w:style w:type="paragraph" w:styleId="TOC7">
    <w:name w:val="toc 7"/>
    <w:basedOn w:val="Normal"/>
    <w:next w:val="Normal"/>
    <w:autoRedefine/>
    <w:uiPriority w:val="99"/>
    <w:semiHidden/>
    <w:unhideWhenUsed/>
    <w:qFormat/>
    <w:pPr>
      <w:tabs>
        <w:tab w:val="right" w:leader="dot" w:pos="8630"/>
      </w:tabs>
      <w:spacing w:after="40" w:line="240" w:lineRule="auto"/>
      <w:ind w:left="1325"/>
    </w:pPr>
    <w:rPr>
      <w:smallCaps/>
      <w:noProof/>
    </w:rPr>
  </w:style>
  <w:style w:type="paragraph" w:styleId="TOC8">
    <w:name w:val="toc 8"/>
    <w:basedOn w:val="Normal"/>
    <w:next w:val="Normal"/>
    <w:autoRedefine/>
    <w:uiPriority w:val="99"/>
    <w:semiHidden/>
    <w:unhideWhenUsed/>
    <w:qFormat/>
    <w:pPr>
      <w:tabs>
        <w:tab w:val="right" w:leader="dot" w:pos="8630"/>
      </w:tabs>
      <w:spacing w:after="40" w:line="240" w:lineRule="auto"/>
      <w:ind w:left="1540"/>
    </w:pPr>
    <w:rPr>
      <w:smallCaps/>
      <w:noProof/>
    </w:rPr>
  </w:style>
  <w:style w:type="paragraph" w:styleId="TOC9">
    <w:name w:val="toc 9"/>
    <w:basedOn w:val="Normal"/>
    <w:next w:val="Normal"/>
    <w:autoRedefine/>
    <w:uiPriority w:val="99"/>
    <w:semiHidden/>
    <w:unhideWhenUsed/>
    <w:qFormat/>
    <w:pPr>
      <w:tabs>
        <w:tab w:val="right" w:leader="dot" w:pos="8630"/>
      </w:tabs>
      <w:spacing w:after="40" w:line="240" w:lineRule="auto"/>
      <w:ind w:left="1760"/>
    </w:pPr>
    <w:rPr>
      <w:smallCaps/>
      <w:noProof/>
    </w:rPr>
  </w:style>
  <w:style w:type="paragraph" w:customStyle="1" w:styleId="FooterLeft">
    <w:name w:val="Footer Left"/>
    <w:basedOn w:val="Normal"/>
    <w:next w:val="Normal"/>
    <w:uiPriority w:val="35"/>
    <w:qFormat/>
    <w:pPr>
      <w:pBdr>
        <w:top w:val="dashed" w:sz="4" w:space="18" w:color="7F7F7F" w:themeColor="text1" w:themeTint="80"/>
      </w:pBdr>
      <w:tabs>
        <w:tab w:val="center" w:pos="4320"/>
        <w:tab w:val="right" w:pos="8640"/>
      </w:tabs>
      <w:spacing w:line="240" w:lineRule="auto"/>
      <w:contextualSpacing/>
    </w:pPr>
    <w:rPr>
      <w:color w:val="7F7F7F" w:themeColor="text1" w:themeTint="80"/>
      <w:szCs w:val="18"/>
    </w:rPr>
  </w:style>
  <w:style w:type="paragraph" w:customStyle="1" w:styleId="FooterRight">
    <w:name w:val="Footer Right"/>
    <w:basedOn w:val="Footer"/>
    <w:uiPriority w:val="35"/>
    <w:qFormat/>
    <w:pPr>
      <w:pBdr>
        <w:top w:val="dashed" w:sz="4" w:space="18" w:color="7F7F7F"/>
      </w:pBdr>
      <w:spacing w:line="240" w:lineRule="auto"/>
      <w:contextualSpacing/>
      <w:jc w:val="right"/>
    </w:pPr>
    <w:rPr>
      <w:color w:val="7F7F7F" w:themeColor="text1" w:themeTint="80"/>
      <w:szCs w:val="18"/>
    </w:rPr>
  </w:style>
  <w:style w:type="paragraph" w:customStyle="1" w:styleId="HeaderFirstPage">
    <w:name w:val="Header First Page"/>
    <w:basedOn w:val="Normal"/>
    <w:next w:val="Normal"/>
    <w:uiPriority w:val="39"/>
    <w:pPr>
      <w:pBdr>
        <w:bottom w:val="dashed" w:sz="4" w:space="18" w:color="7F7F7F" w:themeColor="text1" w:themeTint="80"/>
      </w:pBdr>
      <w:tabs>
        <w:tab w:val="center" w:pos="4320"/>
        <w:tab w:val="right" w:pos="8640"/>
      </w:tabs>
      <w:spacing w:line="396" w:lineRule="auto"/>
    </w:pPr>
  </w:style>
  <w:style w:type="paragraph" w:customStyle="1" w:styleId="HeaderLeft">
    <w:name w:val="Header Left"/>
    <w:basedOn w:val="Header"/>
    <w:uiPriority w:val="35"/>
    <w:qFormat/>
    <w:pPr>
      <w:pBdr>
        <w:bottom w:val="dashed" w:sz="4" w:space="18" w:color="7F7F7F" w:themeColor="text1" w:themeTint="80"/>
      </w:pBdr>
      <w:spacing w:line="396" w:lineRule="auto"/>
    </w:pPr>
    <w:rPr>
      <w:color w:val="7F7F7F" w:themeColor="text1" w:themeTint="80"/>
    </w:rPr>
  </w:style>
  <w:style w:type="paragraph" w:customStyle="1" w:styleId="HeaderRight">
    <w:name w:val="Header Right"/>
    <w:basedOn w:val="Header"/>
    <w:uiPriority w:val="35"/>
    <w:qFormat/>
    <w:pPr>
      <w:pBdr>
        <w:bottom w:val="dashed" w:sz="4" w:space="18" w:color="7F7F7F"/>
      </w:pBdr>
      <w:jc w:val="right"/>
    </w:pPr>
    <w:rPr>
      <w:color w:val="7F7F7F" w:themeColor="text1" w:themeTint="80"/>
    </w:rPr>
  </w:style>
  <w:style w:type="paragraph" w:styleId="NormalWeb">
    <w:name w:val="Normal (Web)"/>
    <w:basedOn w:val="Normal"/>
    <w:uiPriority w:val="99"/>
    <w:semiHidden/>
    <w:unhideWhenUsed/>
    <w:rsid w:val="00654630"/>
    <w:rPr>
      <w:rFonts w:ascii="Times New Roman" w:hAnsi="Times New Roman" w:cs="Times New Roman"/>
      <w:sz w:val="24"/>
      <w:szCs w:val="24"/>
    </w:rPr>
  </w:style>
  <w:style w:type="paragraph" w:styleId="ListParagraph">
    <w:name w:val="List Paragraph"/>
    <w:basedOn w:val="Normal"/>
    <w:uiPriority w:val="34"/>
    <w:qFormat/>
    <w:rsid w:val="00AB38DB"/>
    <w:pPr>
      <w:ind w:left="720"/>
      <w:contextualSpacing/>
    </w:pPr>
  </w:style>
  <w:style w:type="character" w:styleId="CommentReference">
    <w:name w:val="annotation reference"/>
    <w:basedOn w:val="DefaultParagraphFont"/>
    <w:uiPriority w:val="99"/>
    <w:semiHidden/>
    <w:unhideWhenUsed/>
    <w:rsid w:val="00922B46"/>
    <w:rPr>
      <w:sz w:val="16"/>
      <w:szCs w:val="16"/>
    </w:rPr>
  </w:style>
  <w:style w:type="paragraph" w:styleId="CommentText">
    <w:name w:val="annotation text"/>
    <w:basedOn w:val="Normal"/>
    <w:link w:val="CommentTextChar"/>
    <w:uiPriority w:val="99"/>
    <w:unhideWhenUsed/>
    <w:rsid w:val="00922B46"/>
    <w:pPr>
      <w:spacing w:after="160" w:line="240" w:lineRule="auto"/>
    </w:pPr>
    <w:rPr>
      <w:color w:val="auto"/>
      <w:kern w:val="2"/>
      <w:lang w:val="en-GB" w:eastAsia="en-US"/>
      <w14:ligatures w14:val="standardContextual"/>
    </w:rPr>
  </w:style>
  <w:style w:type="character" w:customStyle="1" w:styleId="CommentTextChar">
    <w:name w:val="Comment Text Char"/>
    <w:basedOn w:val="DefaultParagraphFont"/>
    <w:link w:val="CommentText"/>
    <w:uiPriority w:val="99"/>
    <w:rsid w:val="00922B46"/>
    <w:rPr>
      <w:kern w:val="2"/>
      <w:sz w:val="20"/>
      <w:szCs w:val="20"/>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8012">
      <w:bodyDiv w:val="1"/>
      <w:marLeft w:val="0"/>
      <w:marRight w:val="0"/>
      <w:marTop w:val="0"/>
      <w:marBottom w:val="0"/>
      <w:divBdr>
        <w:top w:val="none" w:sz="0" w:space="0" w:color="auto"/>
        <w:left w:val="none" w:sz="0" w:space="0" w:color="auto"/>
        <w:bottom w:val="none" w:sz="0" w:space="0" w:color="auto"/>
        <w:right w:val="none" w:sz="0" w:space="0" w:color="auto"/>
      </w:divBdr>
    </w:div>
    <w:div w:id="41487269">
      <w:bodyDiv w:val="1"/>
      <w:marLeft w:val="0"/>
      <w:marRight w:val="0"/>
      <w:marTop w:val="0"/>
      <w:marBottom w:val="0"/>
      <w:divBdr>
        <w:top w:val="none" w:sz="0" w:space="0" w:color="auto"/>
        <w:left w:val="none" w:sz="0" w:space="0" w:color="auto"/>
        <w:bottom w:val="none" w:sz="0" w:space="0" w:color="auto"/>
        <w:right w:val="none" w:sz="0" w:space="0" w:color="auto"/>
      </w:divBdr>
    </w:div>
    <w:div w:id="105271576">
      <w:bodyDiv w:val="1"/>
      <w:marLeft w:val="0"/>
      <w:marRight w:val="0"/>
      <w:marTop w:val="0"/>
      <w:marBottom w:val="0"/>
      <w:divBdr>
        <w:top w:val="none" w:sz="0" w:space="0" w:color="auto"/>
        <w:left w:val="none" w:sz="0" w:space="0" w:color="auto"/>
        <w:bottom w:val="none" w:sz="0" w:space="0" w:color="auto"/>
        <w:right w:val="none" w:sz="0" w:space="0" w:color="auto"/>
      </w:divBdr>
    </w:div>
    <w:div w:id="413477929">
      <w:bodyDiv w:val="1"/>
      <w:marLeft w:val="0"/>
      <w:marRight w:val="0"/>
      <w:marTop w:val="0"/>
      <w:marBottom w:val="0"/>
      <w:divBdr>
        <w:top w:val="none" w:sz="0" w:space="0" w:color="auto"/>
        <w:left w:val="none" w:sz="0" w:space="0" w:color="auto"/>
        <w:bottom w:val="none" w:sz="0" w:space="0" w:color="auto"/>
        <w:right w:val="none" w:sz="0" w:space="0" w:color="auto"/>
      </w:divBdr>
    </w:div>
    <w:div w:id="802580277">
      <w:bodyDiv w:val="1"/>
      <w:marLeft w:val="0"/>
      <w:marRight w:val="0"/>
      <w:marTop w:val="0"/>
      <w:marBottom w:val="0"/>
      <w:divBdr>
        <w:top w:val="none" w:sz="0" w:space="0" w:color="auto"/>
        <w:left w:val="none" w:sz="0" w:space="0" w:color="auto"/>
        <w:bottom w:val="none" w:sz="0" w:space="0" w:color="auto"/>
        <w:right w:val="none" w:sz="0" w:space="0" w:color="auto"/>
      </w:divBdr>
    </w:div>
    <w:div w:id="826825675">
      <w:bodyDiv w:val="1"/>
      <w:marLeft w:val="0"/>
      <w:marRight w:val="0"/>
      <w:marTop w:val="0"/>
      <w:marBottom w:val="0"/>
      <w:divBdr>
        <w:top w:val="none" w:sz="0" w:space="0" w:color="auto"/>
        <w:left w:val="none" w:sz="0" w:space="0" w:color="auto"/>
        <w:bottom w:val="none" w:sz="0" w:space="0" w:color="auto"/>
        <w:right w:val="none" w:sz="0" w:space="0" w:color="auto"/>
      </w:divBdr>
    </w:div>
    <w:div w:id="1081369228">
      <w:bodyDiv w:val="1"/>
      <w:marLeft w:val="0"/>
      <w:marRight w:val="0"/>
      <w:marTop w:val="0"/>
      <w:marBottom w:val="0"/>
      <w:divBdr>
        <w:top w:val="none" w:sz="0" w:space="0" w:color="auto"/>
        <w:left w:val="none" w:sz="0" w:space="0" w:color="auto"/>
        <w:bottom w:val="none" w:sz="0" w:space="0" w:color="auto"/>
        <w:right w:val="none" w:sz="0" w:space="0" w:color="auto"/>
      </w:divBdr>
    </w:div>
    <w:div w:id="1277129857">
      <w:bodyDiv w:val="1"/>
      <w:marLeft w:val="0"/>
      <w:marRight w:val="0"/>
      <w:marTop w:val="0"/>
      <w:marBottom w:val="0"/>
      <w:divBdr>
        <w:top w:val="none" w:sz="0" w:space="0" w:color="auto"/>
        <w:left w:val="none" w:sz="0" w:space="0" w:color="auto"/>
        <w:bottom w:val="none" w:sz="0" w:space="0" w:color="auto"/>
        <w:right w:val="none" w:sz="0" w:space="0" w:color="auto"/>
      </w:divBdr>
    </w:div>
    <w:div w:id="1393458916">
      <w:bodyDiv w:val="1"/>
      <w:marLeft w:val="0"/>
      <w:marRight w:val="0"/>
      <w:marTop w:val="0"/>
      <w:marBottom w:val="0"/>
      <w:divBdr>
        <w:top w:val="none" w:sz="0" w:space="0" w:color="auto"/>
        <w:left w:val="none" w:sz="0" w:space="0" w:color="auto"/>
        <w:bottom w:val="none" w:sz="0" w:space="0" w:color="auto"/>
        <w:right w:val="none" w:sz="0" w:space="0" w:color="auto"/>
      </w:divBdr>
    </w:div>
    <w:div w:id="1542479172">
      <w:bodyDiv w:val="1"/>
      <w:marLeft w:val="0"/>
      <w:marRight w:val="0"/>
      <w:marTop w:val="0"/>
      <w:marBottom w:val="0"/>
      <w:divBdr>
        <w:top w:val="none" w:sz="0" w:space="0" w:color="auto"/>
        <w:left w:val="none" w:sz="0" w:space="0" w:color="auto"/>
        <w:bottom w:val="none" w:sz="0" w:space="0" w:color="auto"/>
        <w:right w:val="none" w:sz="0" w:space="0" w:color="auto"/>
      </w:divBdr>
    </w:div>
    <w:div w:id="1696810348">
      <w:bodyDiv w:val="1"/>
      <w:marLeft w:val="0"/>
      <w:marRight w:val="0"/>
      <w:marTop w:val="0"/>
      <w:marBottom w:val="0"/>
      <w:divBdr>
        <w:top w:val="none" w:sz="0" w:space="0" w:color="auto"/>
        <w:left w:val="none" w:sz="0" w:space="0" w:color="auto"/>
        <w:bottom w:val="none" w:sz="0" w:space="0" w:color="auto"/>
        <w:right w:val="none" w:sz="0" w:space="0" w:color="auto"/>
      </w:divBdr>
    </w:div>
    <w:div w:id="1700084840">
      <w:bodyDiv w:val="1"/>
      <w:marLeft w:val="0"/>
      <w:marRight w:val="0"/>
      <w:marTop w:val="0"/>
      <w:marBottom w:val="0"/>
      <w:divBdr>
        <w:top w:val="none" w:sz="0" w:space="0" w:color="auto"/>
        <w:left w:val="none" w:sz="0" w:space="0" w:color="auto"/>
        <w:bottom w:val="none" w:sz="0" w:space="0" w:color="auto"/>
        <w:right w:val="none" w:sz="0" w:space="0" w:color="auto"/>
      </w:divBdr>
    </w:div>
    <w:div w:id="1880165283">
      <w:bodyDiv w:val="1"/>
      <w:marLeft w:val="0"/>
      <w:marRight w:val="0"/>
      <w:marTop w:val="0"/>
      <w:marBottom w:val="0"/>
      <w:divBdr>
        <w:top w:val="none" w:sz="0" w:space="0" w:color="auto"/>
        <w:left w:val="none" w:sz="0" w:space="0" w:color="auto"/>
        <w:bottom w:val="none" w:sz="0" w:space="0" w:color="auto"/>
        <w:right w:val="none" w:sz="0" w:space="0" w:color="auto"/>
      </w:divBdr>
    </w:div>
    <w:div w:id="1915427714">
      <w:bodyDiv w:val="1"/>
      <w:marLeft w:val="0"/>
      <w:marRight w:val="0"/>
      <w:marTop w:val="0"/>
      <w:marBottom w:val="0"/>
      <w:divBdr>
        <w:top w:val="none" w:sz="0" w:space="0" w:color="auto"/>
        <w:left w:val="none" w:sz="0" w:space="0" w:color="auto"/>
        <w:bottom w:val="none" w:sz="0" w:space="0" w:color="auto"/>
        <w:right w:val="none" w:sz="0" w:space="0" w:color="auto"/>
      </w:divBdr>
    </w:div>
    <w:div w:id="1937324605">
      <w:bodyDiv w:val="1"/>
      <w:marLeft w:val="0"/>
      <w:marRight w:val="0"/>
      <w:marTop w:val="0"/>
      <w:marBottom w:val="0"/>
      <w:divBdr>
        <w:top w:val="none" w:sz="0" w:space="0" w:color="auto"/>
        <w:left w:val="none" w:sz="0" w:space="0" w:color="auto"/>
        <w:bottom w:val="none" w:sz="0" w:space="0" w:color="auto"/>
        <w:right w:val="none" w:sz="0" w:space="0" w:color="auto"/>
      </w:divBdr>
    </w:div>
    <w:div w:id="1947347946">
      <w:bodyDiv w:val="1"/>
      <w:marLeft w:val="0"/>
      <w:marRight w:val="0"/>
      <w:marTop w:val="0"/>
      <w:marBottom w:val="0"/>
      <w:divBdr>
        <w:top w:val="none" w:sz="0" w:space="0" w:color="auto"/>
        <w:left w:val="none" w:sz="0" w:space="0" w:color="auto"/>
        <w:bottom w:val="none" w:sz="0" w:space="0" w:color="auto"/>
        <w:right w:val="none" w:sz="0" w:space="0" w:color="auto"/>
      </w:divBdr>
    </w:div>
    <w:div w:id="204913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2057\Origin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714F5486BB4262903E723F410AD5F2"/>
        <w:category>
          <w:name w:val="General"/>
          <w:gallery w:val="placeholder"/>
        </w:category>
        <w:types>
          <w:type w:val="bbPlcHdr"/>
        </w:types>
        <w:behaviors>
          <w:behavior w:val="content"/>
        </w:behaviors>
        <w:guid w:val="{D9ACE720-2BEA-47CA-8FBA-CE2560F28F20}"/>
      </w:docPartPr>
      <w:docPartBody>
        <w:p w:rsidR="00B05EFD" w:rsidRDefault="00B05EFD">
          <w:pPr>
            <w:pStyle w:val="0E714F5486BB4262903E723F410AD5F2"/>
          </w:pPr>
          <w:r>
            <w:rPr>
              <w:color w:val="4472C4" w:themeColor="accent1"/>
            </w:rPr>
            <w:t>[Type the 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GMinchoE">
    <w:charset w:val="80"/>
    <w:family w:val="modern"/>
    <w:pitch w:val="fixed"/>
    <w:sig w:usb0="E00002FF" w:usb1="2AC7EDFE" w:usb2="00000012" w:usb3="00000000" w:csb0="00020001"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EFD"/>
    <w:rsid w:val="005D4786"/>
    <w:rsid w:val="00A3679C"/>
    <w:rsid w:val="00AE50B2"/>
    <w:rsid w:val="00B05E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pBdr>
        <w:top w:val="single" w:sz="6" w:space="1" w:color="ED7D31" w:themeColor="accent2"/>
        <w:left w:val="single" w:sz="6" w:space="1" w:color="ED7D31" w:themeColor="accent2"/>
        <w:bottom w:val="single" w:sz="6" w:space="1" w:color="ED7D31" w:themeColor="accent2"/>
        <w:right w:val="single" w:sz="6" w:space="1" w:color="ED7D31" w:themeColor="accent2"/>
      </w:pBdr>
      <w:shd w:val="clear" w:color="auto" w:fill="ED7D31" w:themeFill="accent2"/>
      <w:spacing w:before="300" w:after="40" w:line="276" w:lineRule="auto"/>
      <w:outlineLvl w:val="0"/>
    </w:pPr>
    <w:rPr>
      <w:rFonts w:asciiTheme="majorHAnsi" w:eastAsiaTheme="minorHAnsi" w:hAnsiTheme="majorHAnsi" w:cs="Times New Roman"/>
      <w:color w:val="FFFFFF" w:themeColor="background1"/>
      <w:spacing w:val="5"/>
      <w:kern w:val="0"/>
      <w:sz w:val="20"/>
      <w:szCs w:val="32"/>
      <w:lang w:val="en-US" w:eastAsia="ja-JP"/>
      <w14:ligatures w14:val="none"/>
    </w:rPr>
  </w:style>
  <w:style w:type="paragraph" w:styleId="Heading2">
    <w:name w:val="heading 2"/>
    <w:basedOn w:val="Normal"/>
    <w:next w:val="Normal"/>
    <w:link w:val="Heading2Char"/>
    <w:uiPriority w:val="9"/>
    <w:qFormat/>
    <w:pPr>
      <w:pBdr>
        <w:top w:val="single" w:sz="6" w:space="1" w:color="ED7D31" w:themeColor="accent2"/>
        <w:left w:val="single" w:sz="48" w:space="1" w:color="ED7D31" w:themeColor="accent2"/>
        <w:bottom w:val="single" w:sz="6" w:space="1" w:color="ED7D31" w:themeColor="accent2"/>
        <w:right w:val="single" w:sz="6" w:space="1" w:color="ED7D31" w:themeColor="accent2"/>
      </w:pBdr>
      <w:spacing w:before="240" w:after="80" w:line="276" w:lineRule="auto"/>
      <w:ind w:left="144"/>
      <w:outlineLvl w:val="1"/>
    </w:pPr>
    <w:rPr>
      <w:rFonts w:asciiTheme="majorHAnsi" w:eastAsiaTheme="minorHAnsi" w:hAnsiTheme="majorHAnsi" w:cs="Times New Roman"/>
      <w:color w:val="C45911" w:themeColor="accent2" w:themeShade="BF"/>
      <w:spacing w:val="5"/>
      <w:kern w:val="24"/>
      <w:sz w:val="20"/>
      <w:szCs w:val="28"/>
      <w:lang w:val="en-US" w:eastAsia="ja-JP"/>
      <w14:ligatures w14:val="none"/>
    </w:rPr>
  </w:style>
  <w:style w:type="paragraph" w:styleId="Heading3">
    <w:name w:val="heading 3"/>
    <w:basedOn w:val="Normal"/>
    <w:next w:val="Normal"/>
    <w:link w:val="Heading3Char"/>
    <w:uiPriority w:val="9"/>
    <w:unhideWhenUsed/>
    <w:qFormat/>
    <w:pPr>
      <w:pBdr>
        <w:top w:val="single" w:sz="6" w:space="1" w:color="A6A6A6" w:themeColor="background1" w:themeShade="A6"/>
        <w:left w:val="single" w:sz="48" w:space="1" w:color="A6A6A6" w:themeColor="background1" w:themeShade="A6"/>
        <w:bottom w:val="single" w:sz="6" w:space="1" w:color="A6A6A6" w:themeColor="background1" w:themeShade="A6"/>
        <w:right w:val="single" w:sz="6" w:space="1" w:color="A6A6A6" w:themeColor="background1" w:themeShade="A6"/>
      </w:pBdr>
      <w:spacing w:before="200" w:after="80" w:line="276" w:lineRule="auto"/>
      <w:ind w:left="144"/>
      <w:outlineLvl w:val="2"/>
    </w:pPr>
    <w:rPr>
      <w:rFonts w:asciiTheme="majorHAnsi" w:eastAsiaTheme="minorHAnsi" w:hAnsiTheme="majorHAnsi" w:cs="Times New Roman"/>
      <w:color w:val="595959" w:themeColor="text1" w:themeTint="A6"/>
      <w:spacing w:val="5"/>
      <w:kern w:val="24"/>
      <w:sz w:val="20"/>
      <w:lang w:val="en-US"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714F5486BB4262903E723F410AD5F2">
    <w:name w:val="0E714F5486BB4262903E723F410AD5F2"/>
  </w:style>
  <w:style w:type="character" w:customStyle="1" w:styleId="Heading1Char">
    <w:name w:val="Heading 1 Char"/>
    <w:basedOn w:val="DefaultParagraphFont"/>
    <w:link w:val="Heading1"/>
    <w:uiPriority w:val="9"/>
    <w:rPr>
      <w:rFonts w:asciiTheme="majorHAnsi" w:eastAsiaTheme="minorHAnsi" w:hAnsiTheme="majorHAnsi" w:cs="Times New Roman"/>
      <w:color w:val="FFFFFF" w:themeColor="background1"/>
      <w:spacing w:val="5"/>
      <w:kern w:val="0"/>
      <w:sz w:val="20"/>
      <w:szCs w:val="32"/>
      <w:shd w:val="clear" w:color="auto" w:fill="ED7D31" w:themeFill="accent2"/>
      <w:lang w:val="en-US" w:eastAsia="ja-JP"/>
      <w14:ligatures w14:val="none"/>
    </w:rPr>
  </w:style>
  <w:style w:type="character" w:customStyle="1" w:styleId="Heading2Char">
    <w:name w:val="Heading 2 Char"/>
    <w:basedOn w:val="DefaultParagraphFont"/>
    <w:link w:val="Heading2"/>
    <w:uiPriority w:val="9"/>
    <w:rPr>
      <w:rFonts w:asciiTheme="majorHAnsi" w:eastAsiaTheme="minorHAnsi" w:hAnsiTheme="majorHAnsi" w:cs="Times New Roman"/>
      <w:color w:val="C45911" w:themeColor="accent2" w:themeShade="BF"/>
      <w:spacing w:val="5"/>
      <w:kern w:val="24"/>
      <w:sz w:val="20"/>
      <w:szCs w:val="28"/>
      <w:lang w:val="en-US" w:eastAsia="ja-JP"/>
      <w14:ligatures w14:val="none"/>
    </w:rPr>
  </w:style>
  <w:style w:type="character" w:customStyle="1" w:styleId="Heading3Char">
    <w:name w:val="Heading 3 Char"/>
    <w:basedOn w:val="DefaultParagraphFont"/>
    <w:link w:val="Heading3"/>
    <w:uiPriority w:val="9"/>
    <w:rPr>
      <w:rFonts w:asciiTheme="majorHAnsi" w:eastAsiaTheme="minorHAnsi" w:hAnsiTheme="majorHAnsi" w:cs="Times New Roman"/>
      <w:color w:val="595959" w:themeColor="text1" w:themeTint="A6"/>
      <w:spacing w:val="5"/>
      <w:kern w:val="24"/>
      <w:sz w:val="20"/>
      <w:lang w:val="en-US" w:eastAsia="ja-JP"/>
      <w14:ligatures w14:val="none"/>
    </w:rPr>
  </w:style>
  <w:style w:type="paragraph" w:styleId="Caption">
    <w:name w:val="caption"/>
    <w:basedOn w:val="Normal"/>
    <w:next w:val="Normal"/>
    <w:uiPriority w:val="35"/>
    <w:unhideWhenUsed/>
    <w:qFormat/>
    <w:pPr>
      <w:spacing w:after="0" w:line="240" w:lineRule="auto"/>
    </w:pPr>
    <w:rPr>
      <w:rFonts w:asciiTheme="majorHAnsi" w:eastAsiaTheme="minorHAnsi" w:hAnsiTheme="majorHAnsi" w:cs="Times New Roman"/>
      <w:bCs/>
      <w:color w:val="ED7D31" w:themeColor="accent2"/>
      <w:kern w:val="0"/>
      <w:sz w:val="16"/>
      <w:szCs w:val="18"/>
      <w:lang w:val="en-US" w:eastAsia="ja-JP"/>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rigin">
  <a:themeElements>
    <a:clrScheme name="Origin">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Origin">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shade val="60000"/>
                <a:satMod val="300000"/>
              </a:schemeClr>
            </a:gs>
            <a:gs pos="30000">
              <a:schemeClr val="phClr">
                <a:shade val="80000"/>
                <a:satMod val="230000"/>
              </a:schemeClr>
            </a:gs>
            <a:gs pos="100000">
              <a:schemeClr val="phClr">
                <a:tint val="97000"/>
                <a:satMod val="220000"/>
              </a:schemeClr>
            </a:gs>
          </a:gsLst>
          <a:lin ang="16200000" scaled="1"/>
        </a:gradFill>
        <a:blipFill>
          <a:blip xmlns:r="http://schemas.openxmlformats.org/officeDocument/2006/relationships" r:embed="rId1">
            <a:duotone>
              <a:schemeClr val="phClr">
                <a:shade val="6000"/>
                <a:satMod val="120000"/>
              </a:schemeClr>
              <a:schemeClr val="phClr">
                <a:tint val="90000"/>
              </a:schemeClr>
            </a:duotone>
          </a:blip>
          <a:tile tx="0" ty="0" sx="35000" sy="40000" flip="x"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outs:outSpaceData xmlns:outs="http://schemas.microsoft.com/office/2009/outspace/metadata">
  <outs:relatedDates/>
  <outs:relatedDocuments/>
  <outs:relatedPeople/>
  <propertyMetadataList xmlns="http://schemas.microsoft.com/office/2009/outspace/metadata"/>
  <outs:corruptMetadataWasLost>true</outs:corruptMetadataWasLost>
</outs:outSpaceData>
</file>

<file path=customXml/itemProps1.xml><?xml version="1.0" encoding="utf-8"?>
<ds:datastoreItem xmlns:ds="http://schemas.openxmlformats.org/officeDocument/2006/customXml" ds:itemID="{08CE65F9-6D1F-45BE-8AAF-04F59C177571}">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OriginReport</Template>
  <TotalTime>103</TotalTime>
  <Pages>4</Pages>
  <Words>1670</Words>
  <Characters>9522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POLICY BRIEF — MCHINJI DISTRICT</vt:lpstr>
    </vt:vector>
  </TitlesOfParts>
  <Company/>
  <LinksUpToDate>false</LinksUpToDate>
  <CharactersWithSpaces>11170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BRIEF — MCHINJI DISTRICT</dc:title>
  <dc:subject>Spatial Mapping of GBV Services and Priority Access Gaps in Balaka District</dc:subject>
  <dc:creator>Atusaye Nyondo</dc:creator>
  <cp:keywords/>
  <dc:description/>
  <cp:lastModifiedBy>Atusaye Nyondo</cp:lastModifiedBy>
  <cp:revision>47</cp:revision>
  <dcterms:created xsi:type="dcterms:W3CDTF">2025-12-04T00:33:00Z</dcterms:created>
  <dcterms:modified xsi:type="dcterms:W3CDTF">2025-12-28T08:21:00Z</dcterms:modified>
</cp:coreProperties>
</file>